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4" w:rsidRDefault="000C6DF5">
      <w:pPr>
        <w:tabs>
          <w:tab w:val="left" w:pos="5853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2190757" cy="314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7" cy="3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038560" cy="3034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560" cy="3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F84" w:rsidRDefault="00134470">
      <w:pPr>
        <w:pStyle w:val="BodyText"/>
        <w:spacing w:before="4"/>
        <w:ind w:left="0"/>
        <w:jc w:val="left"/>
        <w:rPr>
          <w:rFonts w:ascii="Times New Roman"/>
          <w:sz w:val="12"/>
        </w:rPr>
      </w:pPr>
      <w:r>
        <w:pict>
          <v:rect id="_x0000_s1028" style="position:absolute;margin-left:70.6pt;margin-top:9.05pt;width:454.2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455F84" w:rsidRDefault="00455F84">
      <w:pPr>
        <w:pStyle w:val="BodyText"/>
        <w:spacing w:before="8"/>
        <w:ind w:left="0"/>
        <w:jc w:val="left"/>
        <w:rPr>
          <w:rFonts w:ascii="Times New Roman"/>
          <w:sz w:val="12"/>
        </w:rPr>
      </w:pPr>
    </w:p>
    <w:p w:rsidR="00455F84" w:rsidRPr="001F1743" w:rsidRDefault="000C6DF5">
      <w:pPr>
        <w:pStyle w:val="Heading1"/>
        <w:spacing w:line="278" w:lineRule="auto"/>
        <w:ind w:right="547"/>
        <w:rPr>
          <w:lang w:val="fr-FR"/>
        </w:rPr>
      </w:pPr>
      <w:r w:rsidRPr="00A42AFE">
        <w:rPr>
          <w:lang w:val="ro-RO"/>
        </w:rPr>
        <w:t>Cea de-a 10-a aniversare a Comitetului</w:t>
      </w:r>
      <w:r w:rsidR="00CE0701" w:rsidRPr="00A42AFE">
        <w:rPr>
          <w:lang w:val="ro-RO"/>
        </w:rPr>
        <w:t xml:space="preserve"> European de Dialog S</w:t>
      </w:r>
      <w:r w:rsidRPr="00A42AFE">
        <w:rPr>
          <w:lang w:val="ro-RO"/>
        </w:rPr>
        <w:t>ocial</w:t>
      </w:r>
      <w:r w:rsidRPr="00240F29">
        <w:rPr>
          <w:lang w:val="ro-RO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pentru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Administraţia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Publică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Centrală</w:t>
      </w:r>
      <w:proofErr w:type="spellEnd"/>
      <w:r w:rsidR="00CE0701" w:rsidRPr="00240F29">
        <w:rPr>
          <w:b w:val="0"/>
          <w:lang w:val="ro-RO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din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cadrul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</w:t>
      </w:r>
      <w:proofErr w:type="spellStart"/>
      <w:r w:rsidR="00CE0701" w:rsidRPr="001F1743">
        <w:rPr>
          <w:rStyle w:val="Strong"/>
          <w:b/>
          <w:color w:val="212529"/>
          <w:lang w:val="fr-FR"/>
        </w:rPr>
        <w:t>Comisiei</w:t>
      </w:r>
      <w:proofErr w:type="spellEnd"/>
      <w:r w:rsidR="00CE0701" w:rsidRPr="001F1743">
        <w:rPr>
          <w:rStyle w:val="Strong"/>
          <w:b/>
          <w:color w:val="212529"/>
          <w:lang w:val="fr-FR"/>
        </w:rPr>
        <w:t xml:space="preserve"> Europene</w:t>
      </w:r>
      <w:r w:rsidR="00CE0701" w:rsidRPr="00240F29">
        <w:rPr>
          <w:lang w:val="ro-RO"/>
        </w:rPr>
        <w:t xml:space="preserve"> </w:t>
      </w:r>
      <w:r w:rsidR="00CE0701" w:rsidRPr="00A42AFE">
        <w:rPr>
          <w:lang w:val="ro-RO"/>
        </w:rPr>
        <w:t>(SDC CGA</w:t>
      </w:r>
      <w:r w:rsidRPr="00A42AFE">
        <w:rPr>
          <w:lang w:val="ro-RO"/>
        </w:rPr>
        <w:t>)</w:t>
      </w:r>
    </w:p>
    <w:p w:rsidR="00455F84" w:rsidRPr="001F1743" w:rsidRDefault="000C6DF5">
      <w:pPr>
        <w:spacing w:before="198"/>
        <w:ind w:left="550" w:right="546"/>
        <w:jc w:val="center"/>
        <w:rPr>
          <w:b/>
          <w:lang w:val="fr-FR"/>
        </w:rPr>
      </w:pPr>
      <w:r w:rsidRPr="00A42AFE">
        <w:rPr>
          <w:b/>
          <w:bCs/>
          <w:lang w:val="ro-RO"/>
        </w:rPr>
        <w:t>Declarație adoptată online</w:t>
      </w:r>
      <w:r w:rsidR="001F1743">
        <w:rPr>
          <w:b/>
          <w:bCs/>
          <w:lang w:val="ro-RO"/>
        </w:rPr>
        <w:t xml:space="preserve"> în data de </w:t>
      </w:r>
      <w:r w:rsidRPr="00A42AFE">
        <w:rPr>
          <w:b/>
          <w:bCs/>
          <w:lang w:val="ro-RO"/>
        </w:rPr>
        <w:t>3 decembrie 2020</w:t>
      </w:r>
    </w:p>
    <w:p w:rsidR="00455F84" w:rsidRPr="009715F1" w:rsidRDefault="00455F84">
      <w:pPr>
        <w:pStyle w:val="BodyText"/>
        <w:spacing w:before="6"/>
        <w:ind w:left="0"/>
        <w:jc w:val="left"/>
        <w:rPr>
          <w:b/>
          <w:sz w:val="16"/>
          <w:szCs w:val="16"/>
          <w:lang w:val="fr-FR"/>
        </w:rPr>
      </w:pPr>
    </w:p>
    <w:p w:rsidR="00455F84" w:rsidRPr="00A42AFE" w:rsidRDefault="000C6DF5" w:rsidP="00C022BE">
      <w:pPr>
        <w:pStyle w:val="BodyText"/>
        <w:spacing w:line="276" w:lineRule="auto"/>
        <w:ind w:right="134"/>
        <w:rPr>
          <w:lang w:val="ro-RO"/>
        </w:rPr>
      </w:pPr>
      <w:r w:rsidRPr="00A42AFE">
        <w:rPr>
          <w:lang w:val="ro-RO"/>
        </w:rPr>
        <w:t>În urmă cu zece ani,</w:t>
      </w:r>
      <w:r w:rsidR="00393DF0">
        <w:rPr>
          <w:lang w:val="ro-RO"/>
        </w:rPr>
        <w:t xml:space="preserve"> </w:t>
      </w:r>
      <w:r w:rsidR="00393DF0" w:rsidRPr="00A42AFE">
        <w:rPr>
          <w:lang w:val="ro-RO"/>
        </w:rPr>
        <w:t xml:space="preserve">Comisia Europeană a convenit să înființeze </w:t>
      </w:r>
      <w:r w:rsidR="001F1743">
        <w:rPr>
          <w:lang w:val="ro-RO"/>
        </w:rPr>
        <w:t>Comitetul</w:t>
      </w:r>
      <w:r w:rsidR="001F1743" w:rsidRPr="001F1743">
        <w:rPr>
          <w:lang w:val="ro-RO"/>
        </w:rPr>
        <w:t xml:space="preserve"> European de Dialog Social pentru Admi</w:t>
      </w:r>
      <w:r w:rsidR="007E2ADE">
        <w:rPr>
          <w:lang w:val="ro-RO"/>
        </w:rPr>
        <w:t xml:space="preserve">nistraţia Publică Centrală (SDC </w:t>
      </w:r>
      <w:r w:rsidR="001F1743" w:rsidRPr="001F1743">
        <w:rPr>
          <w:lang w:val="ro-RO"/>
        </w:rPr>
        <w:t>CGA)</w:t>
      </w:r>
      <w:r w:rsidR="001F1743">
        <w:rPr>
          <w:lang w:val="ro-RO"/>
        </w:rPr>
        <w:t>,</w:t>
      </w:r>
      <w:r w:rsidRPr="00A42AFE">
        <w:rPr>
          <w:lang w:val="ro-RO"/>
        </w:rPr>
        <w:t xml:space="preserve"> la cererea comună a partenerilor sociali, EUPAE</w:t>
      </w:r>
      <w:r w:rsidR="00CE0701" w:rsidRPr="00A42AFE">
        <w:rPr>
          <w:lang w:val="ro-RO"/>
        </w:rPr>
        <w:t xml:space="preserve"> </w:t>
      </w:r>
      <w:r w:rsidR="00CE0701" w:rsidRPr="001F1743">
        <w:rPr>
          <w:color w:val="212529"/>
          <w:lang w:val="fr-FR"/>
        </w:rPr>
        <w:t>(</w:t>
      </w:r>
      <w:proofErr w:type="spellStart"/>
      <w:r w:rsidR="00CE0701" w:rsidRPr="001F1743">
        <w:rPr>
          <w:color w:val="212529"/>
          <w:lang w:val="fr-FR"/>
        </w:rPr>
        <w:t>Angajatori</w:t>
      </w:r>
      <w:proofErr w:type="spellEnd"/>
      <w:r w:rsidR="00CE0701" w:rsidRPr="001F1743">
        <w:rPr>
          <w:color w:val="212529"/>
          <w:lang w:val="fr-FR"/>
        </w:rPr>
        <w:t xml:space="preserve"> </w:t>
      </w:r>
      <w:proofErr w:type="spellStart"/>
      <w:r w:rsidR="00CE0701" w:rsidRPr="001F1743">
        <w:rPr>
          <w:color w:val="212529"/>
          <w:lang w:val="fr-FR"/>
        </w:rPr>
        <w:t>din</w:t>
      </w:r>
      <w:proofErr w:type="spellEnd"/>
      <w:r w:rsidR="00CE0701" w:rsidRPr="001F1743">
        <w:rPr>
          <w:color w:val="212529"/>
          <w:lang w:val="fr-FR"/>
        </w:rPr>
        <w:t xml:space="preserve"> </w:t>
      </w:r>
      <w:proofErr w:type="spellStart"/>
      <w:r w:rsidR="00CE0701" w:rsidRPr="001F1743">
        <w:rPr>
          <w:color w:val="212529"/>
          <w:lang w:val="fr-FR"/>
        </w:rPr>
        <w:t>Administraţia</w:t>
      </w:r>
      <w:proofErr w:type="spellEnd"/>
      <w:r w:rsidR="00CE0701" w:rsidRPr="001F1743">
        <w:rPr>
          <w:color w:val="212529"/>
          <w:lang w:val="fr-FR"/>
        </w:rPr>
        <w:t xml:space="preserve"> </w:t>
      </w:r>
      <w:proofErr w:type="spellStart"/>
      <w:r w:rsidR="00CE0701" w:rsidRPr="001F1743">
        <w:rPr>
          <w:color w:val="212529"/>
          <w:lang w:val="fr-FR"/>
        </w:rPr>
        <w:t>Publică</w:t>
      </w:r>
      <w:proofErr w:type="spellEnd"/>
      <w:r w:rsidR="00CE0701" w:rsidRPr="001F1743">
        <w:rPr>
          <w:color w:val="212529"/>
          <w:lang w:val="fr-FR"/>
        </w:rPr>
        <w:t xml:space="preserve"> de la </w:t>
      </w:r>
      <w:proofErr w:type="spellStart"/>
      <w:r w:rsidR="00CE0701" w:rsidRPr="001F1743">
        <w:rPr>
          <w:color w:val="212529"/>
          <w:lang w:val="fr-FR"/>
        </w:rPr>
        <w:t>nivelul</w:t>
      </w:r>
      <w:proofErr w:type="spellEnd"/>
      <w:r w:rsidR="00CE0701" w:rsidRPr="001F1743">
        <w:rPr>
          <w:color w:val="212529"/>
          <w:lang w:val="fr-FR"/>
        </w:rPr>
        <w:t xml:space="preserve"> UE)</w:t>
      </w:r>
      <w:r w:rsidRPr="00A42AFE">
        <w:rPr>
          <w:lang w:val="ro-RO"/>
        </w:rPr>
        <w:t xml:space="preserve"> și</w:t>
      </w:r>
      <w:r w:rsidR="00C022BE" w:rsidRPr="00A42AFE">
        <w:rPr>
          <w:lang w:val="ro-RO"/>
        </w:rPr>
        <w:t xml:space="preserve"> TUNED </w:t>
      </w:r>
      <w:r w:rsidR="00C022BE" w:rsidRPr="001F1743">
        <w:rPr>
          <w:color w:val="212529"/>
          <w:lang w:val="fr-FR"/>
        </w:rPr>
        <w:t>(</w:t>
      </w:r>
      <w:proofErr w:type="spellStart"/>
      <w:r w:rsidR="00C022BE" w:rsidRPr="001F1743">
        <w:rPr>
          <w:color w:val="212529"/>
          <w:lang w:val="fr-FR"/>
        </w:rPr>
        <w:t>Delegaţia</w:t>
      </w:r>
      <w:proofErr w:type="spellEnd"/>
      <w:r w:rsidR="00C022BE" w:rsidRPr="001F1743">
        <w:rPr>
          <w:color w:val="212529"/>
          <w:lang w:val="fr-FR"/>
        </w:rPr>
        <w:t xml:space="preserve"> </w:t>
      </w:r>
      <w:proofErr w:type="spellStart"/>
      <w:r w:rsidR="00C022BE" w:rsidRPr="001F1743">
        <w:rPr>
          <w:color w:val="212529"/>
          <w:lang w:val="fr-FR"/>
        </w:rPr>
        <w:t>Sindicatelor</w:t>
      </w:r>
      <w:proofErr w:type="spellEnd"/>
      <w:r w:rsidR="00C022BE" w:rsidRPr="001F1743">
        <w:rPr>
          <w:color w:val="212529"/>
          <w:lang w:val="fr-FR"/>
        </w:rPr>
        <w:t xml:space="preserve"> </w:t>
      </w:r>
      <w:proofErr w:type="spellStart"/>
      <w:r w:rsidR="00C022BE" w:rsidRPr="001F1743">
        <w:rPr>
          <w:color w:val="212529"/>
          <w:lang w:val="fr-FR"/>
        </w:rPr>
        <w:t>Naţionale</w:t>
      </w:r>
      <w:proofErr w:type="spellEnd"/>
      <w:r w:rsidR="00C022BE" w:rsidRPr="001F1743">
        <w:rPr>
          <w:color w:val="212529"/>
          <w:lang w:val="fr-FR"/>
        </w:rPr>
        <w:t xml:space="preserve"> </w:t>
      </w:r>
      <w:proofErr w:type="spellStart"/>
      <w:r w:rsidR="00C022BE" w:rsidRPr="001F1743">
        <w:rPr>
          <w:color w:val="212529"/>
          <w:lang w:val="fr-FR"/>
        </w:rPr>
        <w:t>şi</w:t>
      </w:r>
      <w:proofErr w:type="spellEnd"/>
      <w:r w:rsidR="00C022BE" w:rsidRPr="001F1743">
        <w:rPr>
          <w:color w:val="212529"/>
          <w:lang w:val="fr-FR"/>
        </w:rPr>
        <w:t xml:space="preserve"> Europene </w:t>
      </w:r>
      <w:proofErr w:type="spellStart"/>
      <w:r w:rsidR="00C022BE" w:rsidRPr="001F1743">
        <w:rPr>
          <w:color w:val="212529"/>
          <w:lang w:val="fr-FR"/>
        </w:rPr>
        <w:t>din</w:t>
      </w:r>
      <w:proofErr w:type="spellEnd"/>
      <w:r w:rsidR="00C022BE" w:rsidRPr="001F1743">
        <w:rPr>
          <w:color w:val="212529"/>
          <w:lang w:val="fr-FR"/>
        </w:rPr>
        <w:t xml:space="preserve"> </w:t>
      </w:r>
      <w:proofErr w:type="spellStart"/>
      <w:r w:rsidR="00C022BE" w:rsidRPr="001F1743">
        <w:rPr>
          <w:color w:val="212529"/>
          <w:lang w:val="fr-FR"/>
        </w:rPr>
        <w:t>Administraţia</w:t>
      </w:r>
      <w:proofErr w:type="spellEnd"/>
      <w:r w:rsidR="00C022BE" w:rsidRPr="001F1743">
        <w:rPr>
          <w:color w:val="212529"/>
          <w:lang w:val="fr-FR"/>
        </w:rPr>
        <w:t xml:space="preserve"> </w:t>
      </w:r>
      <w:proofErr w:type="spellStart"/>
      <w:r w:rsidR="00C022BE" w:rsidRPr="001F1743">
        <w:rPr>
          <w:color w:val="212529"/>
          <w:lang w:val="fr-FR"/>
        </w:rPr>
        <w:t>Publică</w:t>
      </w:r>
      <w:proofErr w:type="spellEnd"/>
      <w:r w:rsidR="00C022BE" w:rsidRPr="001F1743">
        <w:rPr>
          <w:color w:val="212529"/>
          <w:lang w:val="fr-FR"/>
        </w:rPr>
        <w:t>)</w:t>
      </w:r>
      <w:r w:rsidRPr="00A42AFE">
        <w:rPr>
          <w:lang w:val="ro-RO"/>
        </w:rPr>
        <w:t xml:space="preserve"> </w:t>
      </w:r>
      <w:r w:rsidR="001F1743">
        <w:rPr>
          <w:lang w:val="ro-RO"/>
        </w:rPr>
        <w:t>sub coordonarea</w:t>
      </w:r>
      <w:r w:rsidR="00C022BE" w:rsidRPr="00A42AFE">
        <w:rPr>
          <w:lang w:val="ro-RO"/>
        </w:rPr>
        <w:t xml:space="preserve"> </w:t>
      </w:r>
      <w:r w:rsidRPr="00A42AFE">
        <w:rPr>
          <w:lang w:val="ro-RO"/>
        </w:rPr>
        <w:t>EPSU</w:t>
      </w:r>
      <w:r w:rsidR="00C022BE" w:rsidRPr="00A42AFE">
        <w:rPr>
          <w:lang w:val="ro-RO"/>
        </w:rPr>
        <w:t xml:space="preserve"> (</w:t>
      </w:r>
      <w:proofErr w:type="spellStart"/>
      <w:r w:rsidR="00C022BE" w:rsidRPr="001F1743">
        <w:rPr>
          <w:lang w:val="fr-FR"/>
        </w:rPr>
        <w:t>Federația</w:t>
      </w:r>
      <w:proofErr w:type="spellEnd"/>
      <w:r w:rsidR="00C022BE" w:rsidRPr="001F1743">
        <w:rPr>
          <w:lang w:val="fr-FR"/>
        </w:rPr>
        <w:t xml:space="preserve"> </w:t>
      </w:r>
      <w:proofErr w:type="spellStart"/>
      <w:r w:rsidR="00C022BE" w:rsidRPr="001F1743">
        <w:rPr>
          <w:lang w:val="fr-FR"/>
        </w:rPr>
        <w:t>Europeană</w:t>
      </w:r>
      <w:proofErr w:type="spellEnd"/>
      <w:r w:rsidR="00C022BE" w:rsidRPr="001F1743">
        <w:rPr>
          <w:lang w:val="fr-FR"/>
        </w:rPr>
        <w:t xml:space="preserve"> a </w:t>
      </w:r>
      <w:proofErr w:type="spellStart"/>
      <w:r w:rsidR="00C022BE" w:rsidRPr="001F1743">
        <w:rPr>
          <w:lang w:val="fr-FR"/>
        </w:rPr>
        <w:t>Sindicatelor</w:t>
      </w:r>
      <w:proofErr w:type="spellEnd"/>
      <w:r w:rsidR="00C022BE" w:rsidRPr="001F1743">
        <w:rPr>
          <w:lang w:val="fr-FR"/>
        </w:rPr>
        <w:t xml:space="preserve"> </w:t>
      </w:r>
      <w:proofErr w:type="spellStart"/>
      <w:r w:rsidR="00C022BE" w:rsidRPr="001F1743">
        <w:rPr>
          <w:lang w:val="fr-FR"/>
        </w:rPr>
        <w:t>Serviciilor</w:t>
      </w:r>
      <w:proofErr w:type="spellEnd"/>
      <w:r w:rsidR="00C022BE" w:rsidRPr="001F1743">
        <w:rPr>
          <w:lang w:val="fr-FR"/>
        </w:rPr>
        <w:t xml:space="preserve"> </w:t>
      </w:r>
      <w:proofErr w:type="spellStart"/>
      <w:r w:rsidR="00C022BE" w:rsidRPr="001F1743">
        <w:rPr>
          <w:lang w:val="fr-FR"/>
        </w:rPr>
        <w:t>Publice</w:t>
      </w:r>
      <w:proofErr w:type="spellEnd"/>
      <w:r w:rsidR="00C022BE" w:rsidRPr="001F1743">
        <w:rPr>
          <w:lang w:val="fr-FR"/>
        </w:rPr>
        <w:t>)</w:t>
      </w:r>
      <w:r w:rsidR="00393DF0">
        <w:rPr>
          <w:lang w:val="ro-RO"/>
        </w:rPr>
        <w:t xml:space="preserve"> </w:t>
      </w:r>
      <w:r w:rsidRPr="00A42AFE">
        <w:rPr>
          <w:lang w:val="ro-RO"/>
        </w:rPr>
        <w:t>în cooperare cu CESI</w:t>
      </w:r>
      <w:r w:rsidR="00C022BE" w:rsidRPr="00A42AFE">
        <w:rPr>
          <w:lang w:val="ro-RO"/>
        </w:rPr>
        <w:t xml:space="preserve"> (Confederaţia Europeană a Sindicatelor Independente</w:t>
      </w:r>
      <w:r w:rsidR="00C022BE" w:rsidRPr="001F1743">
        <w:rPr>
          <w:lang w:val="fr-FR"/>
        </w:rPr>
        <w:t>)</w:t>
      </w:r>
      <w:r w:rsidR="00393DF0">
        <w:rPr>
          <w:lang w:val="ro-RO"/>
        </w:rPr>
        <w:t xml:space="preserve">. </w:t>
      </w:r>
      <w:r w:rsidRPr="00A42AFE">
        <w:rPr>
          <w:lang w:val="ro-RO"/>
        </w:rPr>
        <w:t>În total, sectorul</w:t>
      </w:r>
      <w:r w:rsidR="001D6151">
        <w:rPr>
          <w:lang w:val="ro-RO"/>
        </w:rPr>
        <w:t xml:space="preserve"> </w:t>
      </w:r>
      <w:r w:rsidR="001F1743" w:rsidRPr="00A42AFE">
        <w:rPr>
          <w:lang w:val="ro-RO"/>
        </w:rPr>
        <w:t>în cele 28 de state membre ale UE</w:t>
      </w:r>
      <w:r w:rsidR="001F1743" w:rsidRPr="00A42AFE">
        <w:rPr>
          <w:vertAlign w:val="superscript"/>
          <w:lang w:val="ro-RO"/>
        </w:rPr>
        <w:t xml:space="preserve"> </w:t>
      </w:r>
      <w:r w:rsidRPr="00A42AFE">
        <w:rPr>
          <w:lang w:val="ro-RO"/>
        </w:rPr>
        <w:t xml:space="preserve">are </w:t>
      </w:r>
      <w:r w:rsidR="001F1743">
        <w:rPr>
          <w:lang w:val="ro-RO"/>
        </w:rPr>
        <w:t>aproximativ</w:t>
      </w:r>
      <w:r w:rsidRPr="00A42AFE">
        <w:rPr>
          <w:lang w:val="ro-RO"/>
        </w:rPr>
        <w:t xml:space="preserve"> 9 milioane de angajați</w:t>
      </w:r>
      <w:r w:rsidR="001D6151" w:rsidRPr="001D6151">
        <w:rPr>
          <w:lang w:val="ro-RO"/>
        </w:rPr>
        <w:t xml:space="preserve"> </w:t>
      </w:r>
      <w:r w:rsidRPr="00A42AFE">
        <w:rPr>
          <w:vertAlign w:val="superscript"/>
          <w:lang w:val="ro-RO"/>
        </w:rPr>
        <w:t>1</w:t>
      </w:r>
      <w:r w:rsidRPr="00A42AFE">
        <w:rPr>
          <w:lang w:val="ro-RO"/>
        </w:rPr>
        <w:t>.</w:t>
      </w:r>
    </w:p>
    <w:p w:rsidR="00455F84" w:rsidRPr="00795AEC" w:rsidRDefault="001F1743">
      <w:pPr>
        <w:pStyle w:val="BodyText"/>
        <w:spacing w:before="199" w:line="276" w:lineRule="auto"/>
        <w:ind w:right="133"/>
        <w:rPr>
          <w:lang w:val="ro-RO"/>
        </w:rPr>
      </w:pPr>
      <w:r>
        <w:rPr>
          <w:lang w:val="ro-RO"/>
        </w:rPr>
        <w:t>Înfiinţarea Comitetului</w:t>
      </w:r>
      <w:r w:rsidR="000C6DF5" w:rsidRPr="00A42AFE">
        <w:rPr>
          <w:lang w:val="ro-RO"/>
        </w:rPr>
        <w:t xml:space="preserve"> a însemnat </w:t>
      </w:r>
      <w:r w:rsidR="009C7F04" w:rsidRPr="00A42AFE">
        <w:rPr>
          <w:lang w:val="ro-RO"/>
        </w:rPr>
        <w:t>recunoașterea administrațiilor</w:t>
      </w:r>
      <w:r w:rsidR="000C6DF5" w:rsidRPr="00A42AFE">
        <w:rPr>
          <w:lang w:val="ro-RO"/>
        </w:rPr>
        <w:t xml:space="preserve"> </w:t>
      </w:r>
      <w:r>
        <w:rPr>
          <w:lang w:val="ro-RO"/>
        </w:rPr>
        <w:t xml:space="preserve">publice centrale ca sector cu propriile drepturi şi ca parte a dialogului sectorial </w:t>
      </w:r>
      <w:r w:rsidR="00795AEC">
        <w:rPr>
          <w:lang w:val="ro-RO"/>
        </w:rPr>
        <w:t>la nivel european</w:t>
      </w:r>
      <w:r w:rsidR="000C6DF5" w:rsidRPr="00A42AFE">
        <w:rPr>
          <w:lang w:val="ro-RO"/>
        </w:rPr>
        <w:t xml:space="preserve">, atât ca instrument, cât și ca obiectiv </w:t>
      </w:r>
      <w:r w:rsidR="00795AEC">
        <w:rPr>
          <w:lang w:val="ro-RO"/>
        </w:rPr>
        <w:t>pentru buna</w:t>
      </w:r>
      <w:r w:rsidR="000C6DF5" w:rsidRPr="00A42AFE">
        <w:rPr>
          <w:lang w:val="ro-RO"/>
        </w:rPr>
        <w:t xml:space="preserve"> </w:t>
      </w:r>
      <w:r w:rsidR="007D1EFA">
        <w:rPr>
          <w:lang w:val="ro-RO"/>
        </w:rPr>
        <w:t>guvernare</w:t>
      </w:r>
      <w:r w:rsidR="000C6DF5" w:rsidRPr="00A42AFE">
        <w:rPr>
          <w:lang w:val="ro-RO"/>
        </w:rPr>
        <w:t xml:space="preserve">, în conformitate cu tratatele </w:t>
      </w:r>
      <w:r w:rsidR="00795AEC">
        <w:rPr>
          <w:lang w:val="ro-RO"/>
        </w:rPr>
        <w:t xml:space="preserve">europene și cu cei </w:t>
      </w:r>
      <w:r w:rsidR="000C6DF5" w:rsidRPr="00A42AFE">
        <w:rPr>
          <w:lang w:val="ro-RO"/>
        </w:rPr>
        <w:t xml:space="preserve"> 22 de ani</w:t>
      </w:r>
      <w:r w:rsidR="00795AEC">
        <w:rPr>
          <w:lang w:val="ro-RO"/>
        </w:rPr>
        <w:t xml:space="preserve"> de dialog social sectorial</w:t>
      </w:r>
      <w:r w:rsidR="000C6DF5" w:rsidRPr="00A42AFE">
        <w:rPr>
          <w:lang w:val="ro-RO"/>
        </w:rPr>
        <w:t>.</w:t>
      </w:r>
    </w:p>
    <w:p w:rsidR="00455F84" w:rsidRPr="001F1743" w:rsidRDefault="000C6DF5">
      <w:pPr>
        <w:pStyle w:val="BodyText"/>
        <w:spacing w:before="201" w:line="276" w:lineRule="auto"/>
        <w:ind w:right="134"/>
        <w:rPr>
          <w:lang w:val="fr-FR"/>
        </w:rPr>
      </w:pPr>
      <w:r w:rsidRPr="00A42AFE">
        <w:rPr>
          <w:lang w:val="ro-RO"/>
        </w:rPr>
        <w:t>Ca urmare a cereri</w:t>
      </w:r>
      <w:r w:rsidR="005416E6">
        <w:rPr>
          <w:lang w:val="ro-RO"/>
        </w:rPr>
        <w:t>i</w:t>
      </w:r>
      <w:r w:rsidRPr="00A42AFE">
        <w:rPr>
          <w:lang w:val="ro-RO"/>
        </w:rPr>
        <w:t xml:space="preserve"> îndelungate a sindicatelor și datorită sprijinului unei coaliții de guverne, Comitetul a luat ființă la</w:t>
      </w:r>
      <w:r w:rsidR="005416E6">
        <w:rPr>
          <w:lang w:val="ro-RO"/>
        </w:rPr>
        <w:t xml:space="preserve"> data de</w:t>
      </w:r>
      <w:r w:rsidRPr="00A42AFE">
        <w:rPr>
          <w:lang w:val="ro-RO"/>
        </w:rPr>
        <w:t xml:space="preserve"> </w:t>
      </w:r>
      <w:r w:rsidRPr="005416E6">
        <w:rPr>
          <w:b/>
          <w:lang w:val="ro-RO"/>
        </w:rPr>
        <w:t>17 decembrie 2010</w:t>
      </w:r>
      <w:r w:rsidRPr="00A42AFE">
        <w:rPr>
          <w:lang w:val="ro-RO"/>
        </w:rPr>
        <w:t xml:space="preserve">. De atunci, </w:t>
      </w:r>
      <w:r w:rsidR="009321B1">
        <w:rPr>
          <w:lang w:val="ro-RO"/>
        </w:rPr>
        <w:t xml:space="preserve">s-au alăturat </w:t>
      </w:r>
      <w:r w:rsidRPr="00A42AFE">
        <w:rPr>
          <w:lang w:val="ro-RO"/>
        </w:rPr>
        <w:t>18 guverne de partea EUPAE</w:t>
      </w:r>
      <w:r w:rsidRPr="00A42AFE">
        <w:rPr>
          <w:vertAlign w:val="superscript"/>
          <w:lang w:val="ro-RO"/>
        </w:rPr>
        <w:t>2</w:t>
      </w:r>
      <w:r w:rsidRPr="00A42AFE">
        <w:rPr>
          <w:lang w:val="ro-RO"/>
        </w:rPr>
        <w:t xml:space="preserve">, </w:t>
      </w:r>
      <w:r w:rsidR="009321B1">
        <w:rPr>
          <w:lang w:val="ro-RO"/>
        </w:rPr>
        <w:t>dovadă</w:t>
      </w:r>
      <w:r w:rsidRPr="00A42AFE">
        <w:rPr>
          <w:lang w:val="ro-RO"/>
        </w:rPr>
        <w:t xml:space="preserve"> a activității de încredere și relevante a Comitetului.</w:t>
      </w:r>
    </w:p>
    <w:p w:rsidR="00BC72C3" w:rsidRPr="00A42AFE" w:rsidRDefault="000C6DF5" w:rsidP="00BC72C3">
      <w:pPr>
        <w:pStyle w:val="BodyText"/>
        <w:spacing w:before="200" w:line="276" w:lineRule="auto"/>
        <w:ind w:right="132"/>
        <w:rPr>
          <w:lang w:val="ro-RO"/>
        </w:rPr>
      </w:pPr>
      <w:r w:rsidRPr="00A42AFE">
        <w:rPr>
          <w:lang w:val="ro-RO"/>
        </w:rPr>
        <w:t xml:space="preserve">Înființarea Comitetului a avut loc </w:t>
      </w:r>
      <w:r w:rsidR="009C7F04" w:rsidRPr="00A42AFE">
        <w:rPr>
          <w:lang w:val="ro-RO"/>
        </w:rPr>
        <w:t>în</w:t>
      </w:r>
      <w:r w:rsidR="007E2ADE">
        <w:rPr>
          <w:lang w:val="ro-RO"/>
        </w:rPr>
        <w:t>tr-un context foarte dificil pentru</w:t>
      </w:r>
      <w:r w:rsidR="009C7F04" w:rsidRPr="00A42AFE">
        <w:rPr>
          <w:lang w:val="ro-RO"/>
        </w:rPr>
        <w:t xml:space="preserve"> UE</w:t>
      </w:r>
      <w:r w:rsidR="009321B1">
        <w:rPr>
          <w:lang w:val="ro-RO"/>
        </w:rPr>
        <w:t>, cel</w:t>
      </w:r>
      <w:r w:rsidRPr="00A42AFE">
        <w:rPr>
          <w:lang w:val="ro-RO"/>
        </w:rPr>
        <w:t xml:space="preserve"> al măsurilor de austeritate. Pentru sindicate, o prioritate a fost să se solicite standarde sociale </w:t>
      </w:r>
      <w:r w:rsidR="007D1EFA">
        <w:rPr>
          <w:lang w:val="ro-RO"/>
        </w:rPr>
        <w:t>minime ale UE privind dreptul</w:t>
      </w:r>
      <w:r w:rsidRPr="00A42AFE">
        <w:rPr>
          <w:lang w:val="ro-RO"/>
        </w:rPr>
        <w:t xml:space="preserve"> </w:t>
      </w:r>
      <w:r w:rsidR="007D1EFA">
        <w:rPr>
          <w:lang w:val="ro-RO"/>
        </w:rPr>
        <w:t>la</w:t>
      </w:r>
      <w:r w:rsidRPr="00A42AFE">
        <w:rPr>
          <w:lang w:val="ro-RO"/>
        </w:rPr>
        <w:t xml:space="preserve"> consultare, având în vedere multe restructurări și schimbări care au loc fără un cuvânt de spus </w:t>
      </w:r>
      <w:r w:rsidR="009C7F04" w:rsidRPr="00A42AFE">
        <w:rPr>
          <w:lang w:val="ro-RO"/>
        </w:rPr>
        <w:t>din partea angajaţilor</w:t>
      </w:r>
      <w:r w:rsidRPr="00A42AFE">
        <w:rPr>
          <w:lang w:val="ro-RO"/>
        </w:rPr>
        <w:t xml:space="preserve"> și reprezentanți</w:t>
      </w:r>
      <w:r w:rsidR="009C7F04" w:rsidRPr="00A42AFE">
        <w:rPr>
          <w:lang w:val="ro-RO"/>
        </w:rPr>
        <w:t>lor</w:t>
      </w:r>
      <w:r w:rsidR="007D1EFA">
        <w:rPr>
          <w:lang w:val="ro-RO"/>
        </w:rPr>
        <w:t xml:space="preserve"> acestora. </w:t>
      </w:r>
      <w:proofErr w:type="spellStart"/>
      <w:r w:rsidR="00BC72C3" w:rsidRPr="001F1743">
        <w:rPr>
          <w:color w:val="212529"/>
          <w:lang w:val="fr-FR"/>
        </w:rPr>
        <w:t>Comitetul</w:t>
      </w:r>
      <w:proofErr w:type="spellEnd"/>
      <w:r w:rsidR="00BC72C3" w:rsidRPr="001F1743">
        <w:rPr>
          <w:color w:val="212529"/>
          <w:lang w:val="fr-FR"/>
        </w:rPr>
        <w:t xml:space="preserve"> a permis </w:t>
      </w:r>
      <w:proofErr w:type="spellStart"/>
      <w:r w:rsidR="00BC72C3" w:rsidRPr="001F1743">
        <w:rPr>
          <w:color w:val="212529"/>
          <w:lang w:val="fr-FR"/>
        </w:rPr>
        <w:t>angajatorilor</w:t>
      </w:r>
      <w:proofErr w:type="spellEnd"/>
      <w:r w:rsidR="00BC72C3" w:rsidRPr="001F1743">
        <w:rPr>
          <w:color w:val="212529"/>
          <w:lang w:val="fr-FR"/>
        </w:rPr>
        <w:t xml:space="preserve"> </w:t>
      </w:r>
      <w:proofErr w:type="spellStart"/>
      <w:r w:rsidR="00BC72C3" w:rsidRPr="001F1743">
        <w:rPr>
          <w:color w:val="212529"/>
          <w:lang w:val="fr-FR"/>
        </w:rPr>
        <w:t>să</w:t>
      </w:r>
      <w:proofErr w:type="spellEnd"/>
      <w:r w:rsidR="00BC72C3" w:rsidRPr="001F1743">
        <w:rPr>
          <w:color w:val="212529"/>
          <w:lang w:val="fr-FR"/>
        </w:rPr>
        <w:t xml:space="preserve"> </w:t>
      </w:r>
      <w:proofErr w:type="spellStart"/>
      <w:r w:rsidR="00BC72C3" w:rsidRPr="001F1743">
        <w:rPr>
          <w:color w:val="212529"/>
          <w:lang w:val="fr-FR"/>
        </w:rPr>
        <w:t>contribuie</w:t>
      </w:r>
      <w:proofErr w:type="spellEnd"/>
      <w:r w:rsidR="00BC72C3" w:rsidRPr="001F1743">
        <w:rPr>
          <w:color w:val="212529"/>
          <w:lang w:val="fr-FR"/>
        </w:rPr>
        <w:t xml:space="preserve"> direct </w:t>
      </w:r>
      <w:r w:rsidR="007D1EFA">
        <w:rPr>
          <w:color w:val="212529"/>
          <w:lang w:val="fr-FR"/>
        </w:rPr>
        <w:t xml:space="preserve">la </w:t>
      </w:r>
      <w:proofErr w:type="spellStart"/>
      <w:r w:rsidR="007D1EFA">
        <w:rPr>
          <w:color w:val="212529"/>
          <w:lang w:val="fr-FR"/>
        </w:rPr>
        <w:t>formularea</w:t>
      </w:r>
      <w:proofErr w:type="spellEnd"/>
      <w:r w:rsidR="007D1EFA">
        <w:rPr>
          <w:color w:val="212529"/>
          <w:lang w:val="fr-FR"/>
        </w:rPr>
        <w:t xml:space="preserve"> </w:t>
      </w:r>
      <w:proofErr w:type="spellStart"/>
      <w:r w:rsidR="007D1EFA">
        <w:rPr>
          <w:color w:val="212529"/>
          <w:lang w:val="fr-FR"/>
        </w:rPr>
        <w:t>politicilor</w:t>
      </w:r>
      <w:proofErr w:type="spellEnd"/>
      <w:r w:rsidR="00BC72C3" w:rsidRPr="001F1743">
        <w:rPr>
          <w:color w:val="212529"/>
          <w:lang w:val="fr-FR"/>
        </w:rPr>
        <w:t xml:space="preserve"> UE care </w:t>
      </w:r>
      <w:proofErr w:type="gramStart"/>
      <w:r w:rsidR="007D1EFA">
        <w:rPr>
          <w:color w:val="212529"/>
          <w:lang w:val="fr-FR"/>
        </w:rPr>
        <w:t>au impact</w:t>
      </w:r>
      <w:proofErr w:type="gramEnd"/>
      <w:r w:rsidR="007D1EFA">
        <w:rPr>
          <w:color w:val="212529"/>
          <w:lang w:val="fr-FR"/>
        </w:rPr>
        <w:t xml:space="preserve"> </w:t>
      </w:r>
      <w:proofErr w:type="spellStart"/>
      <w:r w:rsidR="007D1EFA">
        <w:rPr>
          <w:color w:val="212529"/>
          <w:lang w:val="fr-FR"/>
        </w:rPr>
        <w:t>asupra</w:t>
      </w:r>
      <w:proofErr w:type="spellEnd"/>
      <w:r w:rsidR="00BC72C3" w:rsidRPr="001F1743">
        <w:rPr>
          <w:color w:val="212529"/>
          <w:lang w:val="fr-FR"/>
        </w:rPr>
        <w:t xml:space="preserve"> </w:t>
      </w:r>
      <w:proofErr w:type="spellStart"/>
      <w:r w:rsidR="00BC72C3" w:rsidRPr="001F1743">
        <w:rPr>
          <w:color w:val="212529"/>
          <w:lang w:val="fr-FR"/>
        </w:rPr>
        <w:t>administraţiil</w:t>
      </w:r>
      <w:r w:rsidR="007D1EFA">
        <w:rPr>
          <w:color w:val="212529"/>
          <w:lang w:val="fr-FR"/>
        </w:rPr>
        <w:t>or</w:t>
      </w:r>
      <w:proofErr w:type="spellEnd"/>
      <w:r w:rsidR="00BC72C3" w:rsidRPr="001F1743">
        <w:rPr>
          <w:color w:val="212529"/>
          <w:lang w:val="fr-FR"/>
        </w:rPr>
        <w:t xml:space="preserve"> </w:t>
      </w:r>
      <w:proofErr w:type="spellStart"/>
      <w:r w:rsidR="00BC72C3" w:rsidRPr="001F1743">
        <w:rPr>
          <w:color w:val="212529"/>
          <w:lang w:val="fr-FR"/>
        </w:rPr>
        <w:t>publice</w:t>
      </w:r>
      <w:proofErr w:type="spellEnd"/>
      <w:r w:rsidR="00BC72C3" w:rsidRPr="001F1743">
        <w:rPr>
          <w:color w:val="212529"/>
          <w:lang w:val="fr-FR"/>
        </w:rPr>
        <w:t xml:space="preserve"> central</w:t>
      </w:r>
      <w:r w:rsidR="009321B1" w:rsidRPr="001F1743">
        <w:rPr>
          <w:color w:val="212529"/>
          <w:lang w:val="fr-FR"/>
        </w:rPr>
        <w:t>e</w:t>
      </w:r>
      <w:r w:rsidR="00BC72C3" w:rsidRPr="001F1743">
        <w:rPr>
          <w:color w:val="212529"/>
          <w:lang w:val="fr-FR"/>
        </w:rPr>
        <w:t>.</w:t>
      </w:r>
      <w:r w:rsidR="00BC72C3" w:rsidRPr="00A42AFE">
        <w:rPr>
          <w:lang w:val="ro-RO"/>
        </w:rPr>
        <w:t xml:space="preserve"> </w:t>
      </w:r>
    </w:p>
    <w:p w:rsidR="00455F84" w:rsidRPr="001F1743" w:rsidRDefault="00845282" w:rsidP="00BC72C3">
      <w:pPr>
        <w:pStyle w:val="BodyText"/>
        <w:spacing w:before="200" w:line="276" w:lineRule="auto"/>
        <w:ind w:right="132"/>
        <w:rPr>
          <w:lang w:val="fr-FR"/>
        </w:rPr>
      </w:pPr>
      <w:r>
        <w:rPr>
          <w:bCs/>
          <w:lang w:val="ro-RO"/>
        </w:rPr>
        <w:t xml:space="preserve">Cea de-a 10-a aniversare a </w:t>
      </w:r>
      <w:r w:rsidR="00BC72C3" w:rsidRPr="00A42AFE">
        <w:rPr>
          <w:bCs/>
          <w:lang w:val="ro-RO"/>
        </w:rPr>
        <w:t>SDC CGA</w:t>
      </w:r>
      <w:r w:rsidR="00BC72C3" w:rsidRPr="00A42AFE">
        <w:rPr>
          <w:b/>
          <w:bCs/>
          <w:lang w:val="ro-RO"/>
        </w:rPr>
        <w:t xml:space="preserve"> </w:t>
      </w:r>
      <w:r w:rsidR="000C6DF5" w:rsidRPr="00A42AFE">
        <w:rPr>
          <w:lang w:val="ro-RO"/>
        </w:rPr>
        <w:t>vine într-un moment în care Europa se confruntă cu cea mai dificilă criză de sănătate, economică și socială</w:t>
      </w:r>
      <w:r w:rsidR="000C6D9B">
        <w:rPr>
          <w:lang w:val="ro-RO"/>
        </w:rPr>
        <w:t>,</w:t>
      </w:r>
      <w:r w:rsidR="000C6DF5" w:rsidRPr="00A42AFE">
        <w:rPr>
          <w:lang w:val="ro-RO"/>
        </w:rPr>
        <w:t xml:space="preserve"> declanșată de izbucnirea pandemiei Covid-19.</w:t>
      </w:r>
    </w:p>
    <w:p w:rsidR="00455F84" w:rsidRPr="001F1743" w:rsidRDefault="000C6DF5">
      <w:pPr>
        <w:pStyle w:val="BodyText"/>
        <w:spacing w:before="193" w:line="276" w:lineRule="auto"/>
        <w:ind w:right="132"/>
        <w:rPr>
          <w:lang w:val="fr-FR"/>
        </w:rPr>
      </w:pPr>
      <w:r w:rsidRPr="00A42AFE">
        <w:rPr>
          <w:lang w:val="ro-RO"/>
        </w:rPr>
        <w:t xml:space="preserve">În același timp, criza a </w:t>
      </w:r>
      <w:r w:rsidR="00605E4E">
        <w:rPr>
          <w:lang w:val="ro-RO"/>
        </w:rPr>
        <w:t>demonstrat</w:t>
      </w:r>
      <w:r w:rsidRPr="00A42AFE">
        <w:rPr>
          <w:lang w:val="ro-RO"/>
        </w:rPr>
        <w:t xml:space="preserve"> importanța de a lucra împreună, de </w:t>
      </w:r>
      <w:r w:rsidR="00671AC2">
        <w:rPr>
          <w:lang w:val="ro-RO"/>
        </w:rPr>
        <w:t xml:space="preserve">a avea </w:t>
      </w:r>
      <w:r w:rsidRPr="00A42AFE">
        <w:rPr>
          <w:lang w:val="ro-RO"/>
        </w:rPr>
        <w:t xml:space="preserve">un stat </w:t>
      </w:r>
      <w:r w:rsidR="00E83A25">
        <w:rPr>
          <w:lang w:val="ro-RO"/>
        </w:rPr>
        <w:t>al bunăstării</w:t>
      </w:r>
      <w:r w:rsidRPr="00A42AFE">
        <w:rPr>
          <w:lang w:val="ro-RO"/>
        </w:rPr>
        <w:t xml:space="preserve"> funcțional, reactiv, protector și democratic, bazat pe funcționari publici valoroși</w:t>
      </w:r>
      <w:r w:rsidR="00605E4E">
        <w:rPr>
          <w:lang w:val="ro-RO"/>
        </w:rPr>
        <w:t>,</w:t>
      </w:r>
      <w:r w:rsidRPr="00A42AFE">
        <w:rPr>
          <w:lang w:val="ro-RO"/>
        </w:rPr>
        <w:t xml:space="preserve"> și </w:t>
      </w:r>
      <w:r w:rsidR="00605E4E">
        <w:rPr>
          <w:lang w:val="ro-RO"/>
        </w:rPr>
        <w:t>a bunei organizări</w:t>
      </w:r>
      <w:r w:rsidRPr="00A42AFE">
        <w:rPr>
          <w:lang w:val="ro-RO"/>
        </w:rPr>
        <w:t xml:space="preserve"> </w:t>
      </w:r>
      <w:r w:rsidR="00605E4E">
        <w:rPr>
          <w:lang w:val="ro-RO"/>
        </w:rPr>
        <w:t>la diferite</w:t>
      </w:r>
      <w:r w:rsidRPr="00A42AFE">
        <w:rPr>
          <w:lang w:val="ro-RO"/>
        </w:rPr>
        <w:t xml:space="preserve"> niveluri </w:t>
      </w:r>
      <w:r w:rsidR="00605E4E">
        <w:rPr>
          <w:lang w:val="ro-RO"/>
        </w:rPr>
        <w:t>de</w:t>
      </w:r>
      <w:r w:rsidR="000C6D9B">
        <w:rPr>
          <w:lang w:val="ro-RO"/>
        </w:rPr>
        <w:t xml:space="preserve"> guvernare</w:t>
      </w:r>
      <w:r w:rsidRPr="00A42AFE">
        <w:rPr>
          <w:lang w:val="ro-RO"/>
        </w:rPr>
        <w:t xml:space="preserve">. </w:t>
      </w:r>
      <w:r w:rsidR="00605E4E">
        <w:rPr>
          <w:lang w:val="ro-RO"/>
        </w:rPr>
        <w:t>D</w:t>
      </w:r>
      <w:r w:rsidR="00605E4E" w:rsidRPr="00A42AFE">
        <w:rPr>
          <w:lang w:val="ro-RO"/>
        </w:rPr>
        <w:t>e asemenea</w:t>
      </w:r>
      <w:r w:rsidR="00605E4E">
        <w:rPr>
          <w:lang w:val="ro-RO"/>
        </w:rPr>
        <w:t>,</w:t>
      </w:r>
      <w:r w:rsidR="00605E4E" w:rsidRPr="00A42AFE">
        <w:rPr>
          <w:lang w:val="ro-RO"/>
        </w:rPr>
        <w:t xml:space="preserve"> </w:t>
      </w:r>
      <w:r w:rsidR="00605E4E">
        <w:rPr>
          <w:lang w:val="ro-RO"/>
        </w:rPr>
        <w:t>a demonstrat</w:t>
      </w:r>
      <w:r w:rsidRPr="00A42AFE">
        <w:rPr>
          <w:lang w:val="ro-RO"/>
        </w:rPr>
        <w:t xml:space="preserve"> importanța </w:t>
      </w:r>
      <w:r w:rsidR="00605E4E">
        <w:rPr>
          <w:lang w:val="ro-RO"/>
        </w:rPr>
        <w:t xml:space="preserve">unei mai bune </w:t>
      </w:r>
      <w:r w:rsidRPr="00A42AFE">
        <w:rPr>
          <w:lang w:val="ro-RO"/>
        </w:rPr>
        <w:t>aplicăr</w:t>
      </w:r>
      <w:r w:rsidR="00605E4E">
        <w:rPr>
          <w:lang w:val="ro-RO"/>
        </w:rPr>
        <w:t>i a</w:t>
      </w:r>
      <w:r w:rsidRPr="00A42AFE">
        <w:rPr>
          <w:lang w:val="ro-RO"/>
        </w:rPr>
        <w:t xml:space="preserve"> principiilor </w:t>
      </w:r>
      <w:r w:rsidR="003834DA">
        <w:rPr>
          <w:lang w:val="ro-RO"/>
        </w:rPr>
        <w:t>UE</w:t>
      </w:r>
      <w:r w:rsidRPr="00A42AFE">
        <w:rPr>
          <w:lang w:val="ro-RO"/>
        </w:rPr>
        <w:t xml:space="preserve"> ale democrației, inclusiv la locul de muncă</w:t>
      </w:r>
      <w:r w:rsidR="00605E4E">
        <w:rPr>
          <w:lang w:val="ro-RO"/>
        </w:rPr>
        <w:t>,</w:t>
      </w:r>
      <w:r w:rsidRPr="00A42AFE">
        <w:rPr>
          <w:lang w:val="ro-RO"/>
        </w:rPr>
        <w:t xml:space="preserve"> și a cooperării dintre statele membre.</w:t>
      </w:r>
    </w:p>
    <w:p w:rsidR="00455F84" w:rsidRPr="001F1743" w:rsidRDefault="00F8324D">
      <w:pPr>
        <w:pStyle w:val="BodyText"/>
        <w:spacing w:before="202" w:line="278" w:lineRule="auto"/>
        <w:ind w:right="132"/>
        <w:rPr>
          <w:lang w:val="fr-FR"/>
        </w:rPr>
      </w:pPr>
      <w:r>
        <w:rPr>
          <w:lang w:val="ro-RO"/>
        </w:rPr>
        <w:t xml:space="preserve">Chiar dacă vremurile </w:t>
      </w:r>
      <w:r w:rsidR="00BC72C3" w:rsidRPr="00A42AFE">
        <w:rPr>
          <w:lang w:val="ro-RO"/>
        </w:rPr>
        <w:t>actual</w:t>
      </w:r>
      <w:r>
        <w:rPr>
          <w:lang w:val="ro-RO"/>
        </w:rPr>
        <w:t>e</w:t>
      </w:r>
      <w:r w:rsidR="000C6DF5" w:rsidRPr="00A42AFE">
        <w:rPr>
          <w:lang w:val="ro-RO"/>
        </w:rPr>
        <w:t xml:space="preserve"> nu permit</w:t>
      </w:r>
      <w:r>
        <w:rPr>
          <w:lang w:val="ro-RO"/>
        </w:rPr>
        <w:t xml:space="preserve"> o celebrare, </w:t>
      </w:r>
      <w:r w:rsidR="003F0C09">
        <w:rPr>
          <w:lang w:val="ro-RO"/>
        </w:rPr>
        <w:t>cea</w:t>
      </w:r>
      <w:r w:rsidR="00BC72C3" w:rsidRPr="00A42AFE">
        <w:rPr>
          <w:lang w:val="ro-RO"/>
        </w:rPr>
        <w:t xml:space="preserve"> de</w:t>
      </w:r>
      <w:r w:rsidR="00BC72C3" w:rsidRPr="00A42AFE">
        <w:rPr>
          <w:b/>
          <w:bCs/>
          <w:lang w:val="ro-RO"/>
        </w:rPr>
        <w:t>-</w:t>
      </w:r>
      <w:r w:rsidR="00BC72C3" w:rsidRPr="00A42AFE">
        <w:rPr>
          <w:lang w:val="ro-RO"/>
        </w:rPr>
        <w:t xml:space="preserve">a </w:t>
      </w:r>
      <w:r w:rsidR="00BC72C3" w:rsidRPr="00A42AFE">
        <w:rPr>
          <w:bCs/>
          <w:lang w:val="ro-RO"/>
        </w:rPr>
        <w:t xml:space="preserve">10-a aniversare </w:t>
      </w:r>
      <w:r w:rsidR="003F0C09">
        <w:rPr>
          <w:bCs/>
          <w:lang w:val="ro-RO"/>
        </w:rPr>
        <w:t xml:space="preserve">a </w:t>
      </w:r>
      <w:r w:rsidR="00BC72C3" w:rsidRPr="00A42AFE">
        <w:rPr>
          <w:bCs/>
          <w:lang w:val="ro-RO"/>
        </w:rPr>
        <w:t>SDC CGA</w:t>
      </w:r>
      <w:r w:rsidR="000C6DF5" w:rsidRPr="00A42AFE">
        <w:rPr>
          <w:lang w:val="ro-RO"/>
        </w:rPr>
        <w:t xml:space="preserve">, </w:t>
      </w:r>
      <w:r w:rsidR="003F0C09">
        <w:rPr>
          <w:lang w:val="ro-RO"/>
        </w:rPr>
        <w:t xml:space="preserve">reprezintă totuşi </w:t>
      </w:r>
      <w:r w:rsidR="000C6DF5" w:rsidRPr="00A42AFE">
        <w:rPr>
          <w:lang w:val="ro-RO"/>
        </w:rPr>
        <w:t xml:space="preserve">o oportunitate de a </w:t>
      </w:r>
      <w:r w:rsidR="003F0C09">
        <w:rPr>
          <w:lang w:val="ro-RO"/>
        </w:rPr>
        <w:t>evidenţia</w:t>
      </w:r>
      <w:r w:rsidR="000C6DF5" w:rsidRPr="00A42AFE">
        <w:rPr>
          <w:lang w:val="ro-RO"/>
        </w:rPr>
        <w:t xml:space="preserve"> realizările și </w:t>
      </w:r>
      <w:r w:rsidR="003F0C09">
        <w:rPr>
          <w:lang w:val="ro-RO"/>
        </w:rPr>
        <w:t xml:space="preserve">a stabili </w:t>
      </w:r>
      <w:r w:rsidR="00CE17D1">
        <w:rPr>
          <w:lang w:val="ro-RO"/>
        </w:rPr>
        <w:t>traseul</w:t>
      </w:r>
      <w:r w:rsidR="003F0C09">
        <w:rPr>
          <w:lang w:val="ro-RO"/>
        </w:rPr>
        <w:t xml:space="preserve"> </w:t>
      </w:r>
      <w:r w:rsidR="000C6DF5" w:rsidRPr="00A42AFE">
        <w:rPr>
          <w:lang w:val="ro-RO"/>
        </w:rPr>
        <w:t>pentru următorii ani.</w:t>
      </w:r>
    </w:p>
    <w:p w:rsidR="00455F84" w:rsidRPr="001F1743" w:rsidRDefault="000C6DF5">
      <w:pPr>
        <w:pStyle w:val="BodyText"/>
        <w:spacing w:before="195" w:line="276" w:lineRule="auto"/>
        <w:ind w:right="132"/>
        <w:rPr>
          <w:lang w:val="ro-RO"/>
        </w:rPr>
      </w:pPr>
      <w:r w:rsidRPr="00A42AFE">
        <w:rPr>
          <w:lang w:val="ro-RO"/>
        </w:rPr>
        <w:t xml:space="preserve">Obiectivele Comitetului rămân la fel de relevante astăzi ca </w:t>
      </w:r>
      <w:r w:rsidR="00F26F1F">
        <w:rPr>
          <w:lang w:val="ro-RO"/>
        </w:rPr>
        <w:t xml:space="preserve">şi </w:t>
      </w:r>
      <w:r w:rsidRPr="00A42AFE">
        <w:rPr>
          <w:lang w:val="ro-RO"/>
        </w:rPr>
        <w:t xml:space="preserve">în urmă cu un deceniu: să ofere un forum pentru </w:t>
      </w:r>
      <w:r w:rsidRPr="00F26F1F">
        <w:rPr>
          <w:b/>
          <w:lang w:val="ro-RO"/>
        </w:rPr>
        <w:t>informare</w:t>
      </w:r>
      <w:r w:rsidRPr="00A42AFE">
        <w:rPr>
          <w:lang w:val="ro-RO"/>
        </w:rPr>
        <w:t xml:space="preserve">, </w:t>
      </w:r>
      <w:r w:rsidRPr="00F26F1F">
        <w:rPr>
          <w:b/>
          <w:lang w:val="ro-RO"/>
        </w:rPr>
        <w:t>consultare</w:t>
      </w:r>
      <w:r w:rsidRPr="00A42AFE">
        <w:rPr>
          <w:lang w:val="ro-RO"/>
        </w:rPr>
        <w:t xml:space="preserve"> și </w:t>
      </w:r>
      <w:r w:rsidRPr="00F26F1F">
        <w:rPr>
          <w:b/>
          <w:lang w:val="ro-RO"/>
        </w:rPr>
        <w:t>negocieri</w:t>
      </w:r>
      <w:r w:rsidRPr="00A42AFE">
        <w:rPr>
          <w:lang w:val="ro-RO"/>
        </w:rPr>
        <w:t xml:space="preserve"> </w:t>
      </w:r>
      <w:r w:rsidR="00F26F1F">
        <w:rPr>
          <w:lang w:val="ro-RO"/>
        </w:rPr>
        <w:t>cu scopul de a îmbunătăți atât calitatea</w:t>
      </w:r>
      <w:r w:rsidRPr="00A42AFE">
        <w:rPr>
          <w:lang w:val="ro-RO"/>
        </w:rPr>
        <w:t xml:space="preserve"> condițiilor de muncă, cât și a </w:t>
      </w:r>
      <w:r w:rsidR="00F26F1F">
        <w:rPr>
          <w:lang w:val="ro-RO"/>
        </w:rPr>
        <w:t>serviciilor furnizate de administrații</w:t>
      </w:r>
      <w:r w:rsidR="000C6D9B">
        <w:rPr>
          <w:lang w:val="ro-RO"/>
        </w:rPr>
        <w:t>le</w:t>
      </w:r>
      <w:r w:rsidRPr="00A42AFE">
        <w:rPr>
          <w:lang w:val="ro-RO"/>
        </w:rPr>
        <w:t xml:space="preserve"> publice. Comitetul aduce perspective diferite</w:t>
      </w:r>
      <w:r w:rsidR="003834DA">
        <w:rPr>
          <w:lang w:val="ro-RO"/>
        </w:rPr>
        <w:t xml:space="preserve">, </w:t>
      </w:r>
      <w:r w:rsidR="00F26F1F">
        <w:rPr>
          <w:lang w:val="ro-RO"/>
        </w:rPr>
        <w:t xml:space="preserve">ale </w:t>
      </w:r>
      <w:r w:rsidR="003834DA">
        <w:rPr>
          <w:lang w:val="ro-RO"/>
        </w:rPr>
        <w:t xml:space="preserve">angajatorilor și </w:t>
      </w:r>
      <w:r w:rsidR="00F26F1F">
        <w:rPr>
          <w:lang w:val="ro-RO"/>
        </w:rPr>
        <w:t xml:space="preserve">ale </w:t>
      </w:r>
      <w:r w:rsidR="003834DA">
        <w:rPr>
          <w:lang w:val="ro-RO"/>
        </w:rPr>
        <w:t>sindicatelor</w:t>
      </w:r>
      <w:r w:rsidRPr="00A42AFE">
        <w:rPr>
          <w:lang w:val="ro-RO"/>
        </w:rPr>
        <w:t>, dar împărtășește ambiția comună de a face administrația mai receptivă la nevoile cetățenilor și cât mai deschisă, transparentă și responsabilă atunci când acest lucru</w:t>
      </w:r>
      <w:r w:rsidR="003834DA">
        <w:rPr>
          <w:lang w:val="ro-RO"/>
        </w:rPr>
        <w:t xml:space="preserve"> este posib</w:t>
      </w:r>
      <w:r w:rsidR="00393DF0">
        <w:rPr>
          <w:lang w:val="ro-RO"/>
        </w:rPr>
        <w:t>il</w:t>
      </w:r>
      <w:r w:rsidRPr="00A42AFE">
        <w:rPr>
          <w:lang w:val="ro-RO"/>
        </w:rPr>
        <w:t>.</w:t>
      </w:r>
    </w:p>
    <w:p w:rsidR="00455F84" w:rsidRPr="001F1743" w:rsidRDefault="00134470">
      <w:pPr>
        <w:pStyle w:val="BodyText"/>
        <w:spacing w:before="8"/>
        <w:ind w:left="0"/>
        <w:jc w:val="left"/>
        <w:rPr>
          <w:sz w:val="21"/>
          <w:lang w:val="ro-RO"/>
        </w:rPr>
      </w:pPr>
      <w:r>
        <w:pict>
          <v:rect id="_x0000_s1026" style="position:absolute;margin-left:1in;margin-top:14.45pt;width:2in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455F84" w:rsidRPr="001F1743" w:rsidRDefault="000C6DF5">
      <w:pPr>
        <w:spacing w:before="71"/>
        <w:ind w:left="140"/>
        <w:rPr>
          <w:rFonts w:ascii="Calibri"/>
          <w:sz w:val="20"/>
          <w:lang w:val="ro-RO"/>
        </w:rPr>
      </w:pPr>
      <w:r>
        <w:rPr>
          <w:rFonts w:ascii="Calibri" w:eastAsia="Calibri" w:hAnsi="Calibri"/>
          <w:sz w:val="20"/>
          <w:szCs w:val="20"/>
          <w:vertAlign w:val="superscript"/>
          <w:lang w:val="ro-RO"/>
        </w:rPr>
        <w:t>1</w:t>
      </w:r>
      <w:r>
        <w:rPr>
          <w:rFonts w:ascii="Calibri" w:eastAsia="Calibri" w:hAnsi="Calibri"/>
          <w:sz w:val="20"/>
          <w:szCs w:val="20"/>
          <w:lang w:val="ro-RO"/>
        </w:rPr>
        <w:t xml:space="preserve"> Studiul reprezentativității </w:t>
      </w:r>
      <w:r w:rsidR="00C022BE">
        <w:rPr>
          <w:rFonts w:ascii="Calibri" w:eastAsia="Calibri" w:hAnsi="Calibri"/>
          <w:sz w:val="20"/>
          <w:szCs w:val="20"/>
          <w:lang w:val="ro-RO"/>
        </w:rPr>
        <w:t>Comisiei Europene (</w:t>
      </w:r>
      <w:r>
        <w:rPr>
          <w:rFonts w:ascii="Calibri" w:eastAsia="Calibri" w:hAnsi="Calibri"/>
          <w:sz w:val="20"/>
          <w:szCs w:val="20"/>
          <w:lang w:val="ro-RO"/>
        </w:rPr>
        <w:t>CE</w:t>
      </w:r>
      <w:r w:rsidR="00C022BE">
        <w:rPr>
          <w:rFonts w:ascii="Calibri" w:eastAsia="Calibri" w:hAnsi="Calibri"/>
          <w:sz w:val="20"/>
          <w:szCs w:val="20"/>
          <w:lang w:val="ro-RO"/>
        </w:rPr>
        <w:t>)</w:t>
      </w:r>
      <w:r>
        <w:rPr>
          <w:rFonts w:ascii="Calibri" w:eastAsia="Calibri" w:hAnsi="Calibri"/>
          <w:sz w:val="20"/>
          <w:szCs w:val="20"/>
          <w:lang w:val="ro-RO"/>
        </w:rPr>
        <w:t xml:space="preserve"> a partenerilor sociali în administrațiile centrale, Eurofound, 2017</w:t>
      </w:r>
    </w:p>
    <w:p w:rsidR="00455F84" w:rsidRPr="001F1743" w:rsidRDefault="000C6DF5">
      <w:pPr>
        <w:ind w:left="140" w:right="352"/>
        <w:rPr>
          <w:rFonts w:ascii="Calibri"/>
          <w:sz w:val="20"/>
          <w:lang w:val="ro-RO"/>
        </w:rPr>
      </w:pPr>
      <w:r>
        <w:rPr>
          <w:rFonts w:ascii="Calibri" w:eastAsia="Calibri" w:hAnsi="Calibri"/>
          <w:sz w:val="20"/>
          <w:szCs w:val="20"/>
          <w:vertAlign w:val="superscript"/>
          <w:lang w:val="ro-RO"/>
        </w:rPr>
        <w:t>2</w:t>
      </w:r>
      <w:r>
        <w:rPr>
          <w:rFonts w:ascii="Calibri" w:eastAsia="Calibri" w:hAnsi="Calibri"/>
          <w:sz w:val="20"/>
          <w:szCs w:val="20"/>
          <w:lang w:val="ro-RO"/>
        </w:rPr>
        <w:t xml:space="preserve"> Acestea sunt</w:t>
      </w:r>
      <w:r w:rsidR="000C6D9B">
        <w:rPr>
          <w:rFonts w:ascii="Calibri" w:eastAsia="Calibri" w:hAnsi="Calibri"/>
          <w:sz w:val="20"/>
          <w:szCs w:val="20"/>
          <w:lang w:val="ro-RO"/>
        </w:rPr>
        <w:t>:</w:t>
      </w:r>
      <w:r>
        <w:rPr>
          <w:rFonts w:ascii="Calibri" w:eastAsia="Calibri" w:hAnsi="Calibri"/>
          <w:sz w:val="20"/>
          <w:szCs w:val="20"/>
          <w:lang w:val="ro-RO"/>
        </w:rPr>
        <w:t xml:space="preserve"> Austria, Belgia, Republica Cehă, Finlanda, Franța, Germania, Ungaria, Italia, Letonia, Grecia, Lituania, Luxemburg, Malta, Portugalia, România, Slovacia, Slovenia, Spania.</w:t>
      </w:r>
    </w:p>
    <w:p w:rsidR="00455F84" w:rsidRPr="001F1743" w:rsidRDefault="00455F84">
      <w:pPr>
        <w:rPr>
          <w:rFonts w:ascii="Calibri"/>
          <w:sz w:val="20"/>
          <w:lang w:val="ro-RO"/>
        </w:rPr>
        <w:sectPr w:rsidR="00455F84" w:rsidRPr="001F1743">
          <w:type w:val="continuous"/>
          <w:pgSz w:w="11910" w:h="16840"/>
          <w:pgMar w:top="820" w:right="1300" w:bottom="280" w:left="1300" w:header="708" w:footer="708" w:gutter="0"/>
          <w:cols w:space="708"/>
        </w:sectPr>
      </w:pPr>
    </w:p>
    <w:p w:rsidR="00455F84" w:rsidRPr="001F1743" w:rsidRDefault="000C6DF5">
      <w:pPr>
        <w:spacing w:before="68"/>
        <w:ind w:right="142"/>
        <w:jc w:val="right"/>
        <w:rPr>
          <w:sz w:val="18"/>
          <w:lang w:val="fr-FR"/>
        </w:rPr>
      </w:pPr>
      <w:r>
        <w:rPr>
          <w:sz w:val="18"/>
          <w:szCs w:val="18"/>
          <w:lang w:val="ro-RO"/>
        </w:rPr>
        <w:lastRenderedPageBreak/>
        <w:t>Declarație - cea de-a 10-a aniversare a Comitetului de dialog social al UE pentru administrațiile administrației centrale</w:t>
      </w:r>
    </w:p>
    <w:p w:rsidR="00455F84" w:rsidRPr="001F1743" w:rsidRDefault="00134470">
      <w:pPr>
        <w:spacing w:before="33"/>
        <w:ind w:right="134"/>
        <w:jc w:val="right"/>
        <w:rPr>
          <w:sz w:val="18"/>
          <w:lang w:val="fr-FR"/>
        </w:rPr>
      </w:pPr>
      <w:r>
        <w:pict>
          <v:rect id="_x0000_s1027" style="position:absolute;left:0;text-align:left;margin-left:70.6pt;margin-top:14.55pt;width:454.2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="000C6DF5">
        <w:rPr>
          <w:sz w:val="18"/>
          <w:szCs w:val="18"/>
          <w:lang w:val="ro-RO"/>
        </w:rPr>
        <w:t>3 decembrie 2020</w:t>
      </w:r>
    </w:p>
    <w:p w:rsidR="00455F84" w:rsidRPr="001F1743" w:rsidRDefault="00455F84">
      <w:pPr>
        <w:pStyle w:val="BodyText"/>
        <w:spacing w:before="8"/>
        <w:ind w:left="0"/>
        <w:jc w:val="left"/>
        <w:rPr>
          <w:sz w:val="12"/>
          <w:lang w:val="fr-FR"/>
        </w:rPr>
      </w:pPr>
    </w:p>
    <w:p w:rsidR="00455F84" w:rsidRPr="001F1743" w:rsidRDefault="000C6DF5">
      <w:pPr>
        <w:pStyle w:val="BodyText"/>
        <w:spacing w:before="94" w:line="276" w:lineRule="auto"/>
        <w:ind w:right="134"/>
        <w:rPr>
          <w:lang w:val="fr-FR"/>
        </w:rPr>
      </w:pPr>
      <w:r>
        <w:rPr>
          <w:lang w:val="ro-RO"/>
        </w:rPr>
        <w:t xml:space="preserve">Asigurarea unor administrații publice cu resurse </w:t>
      </w:r>
      <w:r w:rsidR="003834DA">
        <w:rPr>
          <w:lang w:val="ro-RO"/>
        </w:rPr>
        <w:t>suficiente</w:t>
      </w:r>
      <w:r w:rsidR="009715F1">
        <w:rPr>
          <w:lang w:val="ro-RO"/>
        </w:rPr>
        <w:t xml:space="preserve">, umane şi materiale, </w:t>
      </w:r>
      <w:r>
        <w:rPr>
          <w:lang w:val="ro-RO"/>
        </w:rPr>
        <w:t xml:space="preserve">și îmbunătățirea cooperării în interiorul și între statele membre vor fi esențiale pentru </w:t>
      </w:r>
      <w:r w:rsidR="009715F1">
        <w:rPr>
          <w:lang w:val="ro-RO"/>
        </w:rPr>
        <w:t>revenirea</w:t>
      </w:r>
      <w:r w:rsidR="003834DA">
        <w:rPr>
          <w:lang w:val="ro-RO"/>
        </w:rPr>
        <w:t xml:space="preserve"> după </w:t>
      </w:r>
      <w:r w:rsidR="00831684">
        <w:rPr>
          <w:lang w:val="ro-RO"/>
        </w:rPr>
        <w:t xml:space="preserve">criza provocată de </w:t>
      </w:r>
      <w:r>
        <w:rPr>
          <w:lang w:val="ro-RO"/>
        </w:rPr>
        <w:t>pandemie și</w:t>
      </w:r>
      <w:r w:rsidR="009715F1">
        <w:rPr>
          <w:lang w:val="ro-RO"/>
        </w:rPr>
        <w:t xml:space="preserve"> pentru</w:t>
      </w:r>
      <w:r>
        <w:rPr>
          <w:lang w:val="ro-RO"/>
        </w:rPr>
        <w:t xml:space="preserve"> o mai bună pregătire </w:t>
      </w:r>
      <w:r w:rsidR="009715F1">
        <w:rPr>
          <w:lang w:val="ro-RO"/>
        </w:rPr>
        <w:t>în ce priveşte</w:t>
      </w:r>
      <w:r>
        <w:rPr>
          <w:lang w:val="ro-RO"/>
        </w:rPr>
        <w:t xml:space="preserve"> crize</w:t>
      </w:r>
      <w:r w:rsidR="009715F1">
        <w:rPr>
          <w:lang w:val="ro-RO"/>
        </w:rPr>
        <w:t>le</w:t>
      </w:r>
      <w:r>
        <w:rPr>
          <w:lang w:val="ro-RO"/>
        </w:rPr>
        <w:t xml:space="preserve"> sanitare sau ecologice.</w:t>
      </w:r>
    </w:p>
    <w:p w:rsidR="00455F84" w:rsidRDefault="000C6DF5">
      <w:pPr>
        <w:pStyle w:val="BodyText"/>
        <w:spacing w:before="202"/>
      </w:pPr>
      <w:r>
        <w:rPr>
          <w:lang w:val="ro-RO"/>
        </w:rPr>
        <w:t xml:space="preserve">În ultimul deceniu, Comitetul a utilizat toate instrumentele disponibile după </w:t>
      </w:r>
      <w:r w:rsidR="001855FD">
        <w:rPr>
          <w:lang w:val="ro-RO"/>
        </w:rPr>
        <w:t xml:space="preserve">cum </w:t>
      </w:r>
      <w:r>
        <w:rPr>
          <w:lang w:val="ro-RO"/>
        </w:rPr>
        <w:t>urmează:</w:t>
      </w:r>
    </w:p>
    <w:p w:rsidR="00455F84" w:rsidRDefault="00455F84">
      <w:pPr>
        <w:pStyle w:val="BodyText"/>
        <w:spacing w:before="4"/>
        <w:ind w:left="0"/>
        <w:jc w:val="left"/>
        <w:rPr>
          <w:sz w:val="20"/>
        </w:rPr>
      </w:pPr>
    </w:p>
    <w:p w:rsidR="00455F84" w:rsidRPr="001F1743" w:rsidRDefault="000C6DF5">
      <w:pPr>
        <w:pStyle w:val="ListParagraph"/>
        <w:numPr>
          <w:ilvl w:val="0"/>
          <w:numId w:val="1"/>
        </w:numPr>
        <w:tabs>
          <w:tab w:val="left" w:pos="501"/>
        </w:tabs>
        <w:spacing w:before="0" w:line="273" w:lineRule="auto"/>
        <w:ind w:right="133"/>
        <w:rPr>
          <w:lang w:val="fr-FR"/>
        </w:rPr>
      </w:pPr>
      <w:r>
        <w:rPr>
          <w:lang w:val="ro-RO"/>
        </w:rPr>
        <w:t>fonduri</w:t>
      </w:r>
      <w:r w:rsidR="009715F1">
        <w:rPr>
          <w:lang w:val="ro-RO"/>
        </w:rPr>
        <w:t>le Comisiei Europene</w:t>
      </w:r>
      <w:r>
        <w:rPr>
          <w:lang w:val="ro-RO"/>
        </w:rPr>
        <w:t xml:space="preserve"> </w:t>
      </w:r>
      <w:r w:rsidR="009715F1">
        <w:rPr>
          <w:lang w:val="ro-RO"/>
        </w:rPr>
        <w:t>destinate</w:t>
      </w:r>
      <w:r>
        <w:rPr>
          <w:lang w:val="ro-RO"/>
        </w:rPr>
        <w:t xml:space="preserve"> proiecte</w:t>
      </w:r>
      <w:r w:rsidR="009715F1">
        <w:rPr>
          <w:lang w:val="ro-RO"/>
        </w:rPr>
        <w:t>lor</w:t>
      </w:r>
      <w:r>
        <w:rPr>
          <w:lang w:val="ro-RO"/>
        </w:rPr>
        <w:t xml:space="preserve"> de dialog social care au condus la finalizarea unei cercetări comparative și a unui ghid privind riscurile psihosociale la locul de muncă și a unei liste de verificare </w:t>
      </w:r>
      <w:r w:rsidR="009715F1">
        <w:rPr>
          <w:lang w:val="ro-RO"/>
        </w:rPr>
        <w:t>(dos and don’ts) în ceea ce priveşte</w:t>
      </w:r>
      <w:r>
        <w:rPr>
          <w:lang w:val="ro-RO"/>
        </w:rPr>
        <w:t xml:space="preserve"> digitalizare</w:t>
      </w:r>
      <w:r w:rsidR="009715F1">
        <w:rPr>
          <w:lang w:val="ro-RO"/>
        </w:rPr>
        <w:t xml:space="preserve">a și asigurarea </w:t>
      </w:r>
      <w:r>
        <w:rPr>
          <w:lang w:val="ro-RO"/>
        </w:rPr>
        <w:t>echilibrului dintre viața profesională și cea privată;</w:t>
      </w:r>
    </w:p>
    <w:p w:rsidR="00455F84" w:rsidRPr="001F1743" w:rsidRDefault="000C6DF5" w:rsidP="00787765">
      <w:pPr>
        <w:pStyle w:val="ListParagraph"/>
        <w:numPr>
          <w:ilvl w:val="0"/>
          <w:numId w:val="1"/>
        </w:numPr>
        <w:tabs>
          <w:tab w:val="left" w:pos="501"/>
        </w:tabs>
        <w:spacing w:before="4" w:line="273" w:lineRule="auto"/>
        <w:ind w:right="140"/>
        <w:rPr>
          <w:lang w:val="fr-FR"/>
        </w:rPr>
      </w:pPr>
      <w:r>
        <w:rPr>
          <w:lang w:val="ro-RO"/>
        </w:rPr>
        <w:t xml:space="preserve">declarații privind criza financiară, strategia </w:t>
      </w:r>
      <w:r w:rsidR="00787765" w:rsidRPr="00787765">
        <w:rPr>
          <w:lang w:val="ro-RO"/>
        </w:rPr>
        <w:t>Comisiei Europene</w:t>
      </w:r>
      <w:r>
        <w:rPr>
          <w:lang w:val="ro-RO"/>
        </w:rPr>
        <w:t xml:space="preserve"> privind sănătatea și </w:t>
      </w:r>
      <w:r w:rsidR="00787765">
        <w:rPr>
          <w:lang w:val="ro-RO"/>
        </w:rPr>
        <w:t xml:space="preserve">securitatea la locul de </w:t>
      </w:r>
      <w:r>
        <w:rPr>
          <w:lang w:val="ro-RO"/>
        </w:rPr>
        <w:t xml:space="preserve">muncă, </w:t>
      </w:r>
      <w:r w:rsidR="00787765">
        <w:rPr>
          <w:lang w:val="ro-RO"/>
        </w:rPr>
        <w:t xml:space="preserve">furnizarea de </w:t>
      </w:r>
      <w:r>
        <w:rPr>
          <w:lang w:val="ro-RO"/>
        </w:rPr>
        <w:t>servicii publice de calitate</w:t>
      </w:r>
      <w:r w:rsidR="00787765">
        <w:rPr>
          <w:lang w:val="ro-RO"/>
        </w:rPr>
        <w:t xml:space="preserve"> pentru persoanele aflate în situații vulnerabile</w:t>
      </w:r>
      <w:r>
        <w:rPr>
          <w:lang w:val="ro-RO"/>
        </w:rPr>
        <w:t xml:space="preserve">, precum și </w:t>
      </w:r>
      <w:r w:rsidR="00787765">
        <w:rPr>
          <w:lang w:val="ro-RO"/>
        </w:rPr>
        <w:t xml:space="preserve">cu privire la </w:t>
      </w:r>
      <w:r w:rsidR="00831684">
        <w:rPr>
          <w:lang w:val="ro-RO"/>
        </w:rPr>
        <w:t xml:space="preserve">criza </w:t>
      </w:r>
      <w:r>
        <w:rPr>
          <w:lang w:val="ro-RO"/>
        </w:rPr>
        <w:t>Covid-19 și urmările acesteia;</w:t>
      </w:r>
    </w:p>
    <w:p w:rsidR="00455F84" w:rsidRPr="001F1743" w:rsidRDefault="000C6DF5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hanging="361"/>
        <w:jc w:val="left"/>
        <w:rPr>
          <w:lang w:val="fr-FR"/>
        </w:rPr>
      </w:pPr>
      <w:r>
        <w:rPr>
          <w:lang w:val="ro-RO"/>
        </w:rPr>
        <w:t>cercetarea privind măsurarea și eliminarea diferenței de remunerare între femei și bărbați;</w:t>
      </w:r>
    </w:p>
    <w:p w:rsidR="00455F84" w:rsidRPr="001F1743" w:rsidRDefault="000C6DF5" w:rsidP="00787765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jc w:val="left"/>
        <w:rPr>
          <w:lang w:val="fr-FR"/>
        </w:rPr>
      </w:pPr>
      <w:r>
        <w:rPr>
          <w:lang w:val="ro-RO"/>
        </w:rPr>
        <w:t xml:space="preserve">răspunsurile la consultările </w:t>
      </w:r>
      <w:r w:rsidR="00787765" w:rsidRPr="00787765">
        <w:rPr>
          <w:lang w:val="ro-RO"/>
        </w:rPr>
        <w:t>Comisiei Europene</w:t>
      </w:r>
      <w:r>
        <w:rPr>
          <w:lang w:val="ro-RO"/>
        </w:rPr>
        <w:t xml:space="preserve">, cel mai recent </w:t>
      </w:r>
      <w:r w:rsidR="00787765">
        <w:rPr>
          <w:lang w:val="ro-RO"/>
        </w:rPr>
        <w:t xml:space="preserve">fiind cel cu privire la </w:t>
      </w:r>
      <w:r>
        <w:rPr>
          <w:lang w:val="ro-RO"/>
        </w:rPr>
        <w:t>salariile minime echitabile</w:t>
      </w:r>
      <w:r w:rsidR="00787765">
        <w:rPr>
          <w:lang w:val="ro-RO"/>
        </w:rPr>
        <w:t xml:space="preserve"> la nivel naţional</w:t>
      </w:r>
      <w:r>
        <w:rPr>
          <w:lang w:val="ro-RO"/>
        </w:rPr>
        <w:t>;</w:t>
      </w:r>
    </w:p>
    <w:p w:rsidR="00455F84" w:rsidRPr="001F1743" w:rsidRDefault="00684138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9"/>
        <w:ind w:hanging="361"/>
        <w:jc w:val="left"/>
        <w:rPr>
          <w:lang w:val="fr-FR"/>
        </w:rPr>
      </w:pPr>
      <w:r>
        <w:rPr>
          <w:lang w:val="ro-RO"/>
        </w:rPr>
        <w:t xml:space="preserve">formularea de recomandări privind </w:t>
      </w:r>
      <w:r w:rsidR="00831684">
        <w:rPr>
          <w:lang w:val="ro-RO"/>
        </w:rPr>
        <w:t>politici</w:t>
      </w:r>
      <w:r>
        <w:rPr>
          <w:lang w:val="ro-RO"/>
        </w:rPr>
        <w:t>le</w:t>
      </w:r>
      <w:r w:rsidR="00831684">
        <w:rPr>
          <w:lang w:val="ro-RO"/>
        </w:rPr>
        <w:t xml:space="preserve"> publice</w:t>
      </w:r>
      <w:r w:rsidR="000C6DF5">
        <w:rPr>
          <w:lang w:val="ro-RO"/>
        </w:rPr>
        <w:t xml:space="preserve"> </w:t>
      </w:r>
      <w:r>
        <w:rPr>
          <w:lang w:val="ro-RO"/>
        </w:rPr>
        <w:t>ce vizează</w:t>
      </w:r>
      <w:r w:rsidR="000C6DF5">
        <w:rPr>
          <w:lang w:val="ro-RO"/>
        </w:rPr>
        <w:t xml:space="preserve"> </w:t>
      </w:r>
      <w:r>
        <w:rPr>
          <w:lang w:val="ro-RO"/>
        </w:rPr>
        <w:t>managementul</w:t>
      </w:r>
      <w:r w:rsidR="00831684">
        <w:rPr>
          <w:lang w:val="ro-RO"/>
        </w:rPr>
        <w:t xml:space="preserve"> </w:t>
      </w:r>
      <w:r w:rsidR="000C6DF5">
        <w:rPr>
          <w:lang w:val="ro-RO"/>
        </w:rPr>
        <w:t>resurselor umane;</w:t>
      </w:r>
    </w:p>
    <w:p w:rsidR="00455F84" w:rsidRPr="00684138" w:rsidRDefault="000C6DF5">
      <w:pPr>
        <w:pStyle w:val="ListParagraph"/>
        <w:numPr>
          <w:ilvl w:val="0"/>
          <w:numId w:val="1"/>
        </w:numPr>
        <w:tabs>
          <w:tab w:val="left" w:pos="501"/>
        </w:tabs>
        <w:spacing w:line="271" w:lineRule="auto"/>
        <w:ind w:right="135"/>
        <w:rPr>
          <w:lang w:val="fr-FR"/>
        </w:rPr>
      </w:pPr>
      <w:r>
        <w:rPr>
          <w:lang w:val="ro-RO"/>
        </w:rPr>
        <w:t xml:space="preserve">semnarea </w:t>
      </w:r>
      <w:r w:rsidR="00684138">
        <w:rPr>
          <w:lang w:val="ro-RO"/>
        </w:rPr>
        <w:t>în anul 2010 a recomandărilor la nivel</w:t>
      </w:r>
      <w:r w:rsidR="00BE100A">
        <w:rPr>
          <w:lang w:val="ro-RO"/>
        </w:rPr>
        <w:t xml:space="preserve"> </w:t>
      </w:r>
      <w:r w:rsidR="00684138">
        <w:rPr>
          <w:lang w:val="ro-RO"/>
        </w:rPr>
        <w:t>multisectorial</w:t>
      </w:r>
      <w:r>
        <w:rPr>
          <w:lang w:val="ro-RO"/>
        </w:rPr>
        <w:t xml:space="preserve"> privind prevenirea și combaterea violenței și hărțuirii </w:t>
      </w:r>
      <w:r w:rsidR="00684138">
        <w:rPr>
          <w:lang w:val="ro-RO"/>
        </w:rPr>
        <w:t>din partea unui terţ</w:t>
      </w:r>
      <w:r>
        <w:rPr>
          <w:lang w:val="ro-RO"/>
        </w:rPr>
        <w:t xml:space="preserve"> la locul de muncă;</w:t>
      </w:r>
    </w:p>
    <w:p w:rsidR="00455F84" w:rsidRPr="00684138" w:rsidRDefault="00684138">
      <w:pPr>
        <w:pStyle w:val="ListParagraph"/>
        <w:numPr>
          <w:ilvl w:val="0"/>
          <w:numId w:val="1"/>
        </w:numPr>
        <w:tabs>
          <w:tab w:val="left" w:pos="501"/>
        </w:tabs>
        <w:spacing w:before="7" w:line="273" w:lineRule="auto"/>
        <w:ind w:right="132"/>
        <w:rPr>
          <w:lang w:val="ro-RO"/>
        </w:rPr>
      </w:pPr>
      <w:proofErr w:type="spellStart"/>
      <w:r>
        <w:rPr>
          <w:lang w:val="fr-FR"/>
        </w:rPr>
        <w:t>încheierea</w:t>
      </w:r>
      <w:proofErr w:type="spellEnd"/>
      <w:r>
        <w:rPr>
          <w:lang w:val="fr-FR"/>
        </w:rPr>
        <w:t xml:space="preserve"> a </w:t>
      </w:r>
      <w:r w:rsidR="000C6DF5">
        <w:rPr>
          <w:lang w:val="ro-RO"/>
        </w:rPr>
        <w:t xml:space="preserve">două acorduri: un acord autonom privind principiile </w:t>
      </w:r>
      <w:r>
        <w:rPr>
          <w:lang w:val="ro-RO"/>
        </w:rPr>
        <w:t>unei bune</w:t>
      </w:r>
      <w:r w:rsidR="000C6DF5">
        <w:rPr>
          <w:lang w:val="ro-RO"/>
        </w:rPr>
        <w:t xml:space="preserve"> administrări și un acord privind </w:t>
      </w:r>
      <w:r>
        <w:rPr>
          <w:lang w:val="ro-RO"/>
        </w:rPr>
        <w:t xml:space="preserve">drepturile la informare și consultare ale </w:t>
      </w:r>
      <w:r w:rsidR="00BE100A">
        <w:rPr>
          <w:lang w:val="ro-RO"/>
        </w:rPr>
        <w:t>angajaţi</w:t>
      </w:r>
      <w:r>
        <w:rPr>
          <w:lang w:val="ro-RO"/>
        </w:rPr>
        <w:t>lor</w:t>
      </w:r>
      <w:r w:rsidR="000C6DF5">
        <w:rPr>
          <w:lang w:val="ro-RO"/>
        </w:rPr>
        <w:t xml:space="preserve"> și </w:t>
      </w:r>
      <w:r>
        <w:rPr>
          <w:lang w:val="ro-RO"/>
        </w:rPr>
        <w:t>a</w:t>
      </w:r>
      <w:r w:rsidR="00134470">
        <w:rPr>
          <w:lang w:val="ro-RO"/>
        </w:rPr>
        <w:t>le</w:t>
      </w:r>
      <w:r>
        <w:rPr>
          <w:lang w:val="ro-RO"/>
        </w:rPr>
        <w:t xml:space="preserve"> </w:t>
      </w:r>
      <w:r w:rsidR="000C6DF5">
        <w:rPr>
          <w:lang w:val="ro-RO"/>
        </w:rPr>
        <w:t xml:space="preserve">sindicatelor </w:t>
      </w:r>
      <w:r>
        <w:rPr>
          <w:lang w:val="ro-RO"/>
        </w:rPr>
        <w:t>pe timp de</w:t>
      </w:r>
      <w:r w:rsidR="000C6DF5">
        <w:rPr>
          <w:lang w:val="ro-RO"/>
        </w:rPr>
        <w:t xml:space="preserve"> restructurare,</w:t>
      </w:r>
      <w:r>
        <w:rPr>
          <w:lang w:val="ro-RO"/>
        </w:rPr>
        <w:t xml:space="preserve"> </w:t>
      </w:r>
      <w:r w:rsidR="001855FD">
        <w:rPr>
          <w:lang w:val="ro-RO"/>
        </w:rPr>
        <w:t xml:space="preserve">cu scopul </w:t>
      </w:r>
      <w:r w:rsidR="000C6DF5">
        <w:rPr>
          <w:lang w:val="ro-RO"/>
        </w:rPr>
        <w:t xml:space="preserve">ca acesta </w:t>
      </w:r>
      <w:r>
        <w:rPr>
          <w:lang w:val="ro-RO"/>
        </w:rPr>
        <w:t xml:space="preserve">din urmă </w:t>
      </w:r>
      <w:r w:rsidR="000C6DF5">
        <w:rPr>
          <w:lang w:val="ro-RO"/>
        </w:rPr>
        <w:t xml:space="preserve">să </w:t>
      </w:r>
      <w:r w:rsidR="00134470">
        <w:rPr>
          <w:lang w:val="ro-RO"/>
        </w:rPr>
        <w:t>obţină putere</w:t>
      </w:r>
      <w:r w:rsidR="000C6DF5">
        <w:rPr>
          <w:lang w:val="ro-RO"/>
        </w:rPr>
        <w:t xml:space="preserve"> </w:t>
      </w:r>
      <w:r w:rsidR="00781060">
        <w:rPr>
          <w:lang w:val="ro-RO"/>
        </w:rPr>
        <w:t>legal</w:t>
      </w:r>
      <w:r w:rsidR="00134470">
        <w:rPr>
          <w:lang w:val="ro-RO"/>
        </w:rPr>
        <w:t>ă</w:t>
      </w:r>
      <w:r w:rsidR="00781060">
        <w:rPr>
          <w:lang w:val="ro-RO"/>
        </w:rPr>
        <w:t>,</w:t>
      </w:r>
      <w:r w:rsidR="000C6DF5">
        <w:rPr>
          <w:lang w:val="ro-RO"/>
        </w:rPr>
        <w:t xml:space="preserve"> prin </w:t>
      </w:r>
      <w:r w:rsidR="00781060">
        <w:rPr>
          <w:lang w:val="ro-RO"/>
        </w:rPr>
        <w:t>transpunerea într-o directivă</w:t>
      </w:r>
      <w:r w:rsidR="000C6DF5">
        <w:rPr>
          <w:lang w:val="ro-RO"/>
        </w:rPr>
        <w:t>.</w:t>
      </w:r>
    </w:p>
    <w:p w:rsidR="00455F84" w:rsidRPr="001F1743" w:rsidRDefault="00EF2E15">
      <w:pPr>
        <w:pStyle w:val="BodyText"/>
        <w:spacing w:before="204" w:line="276" w:lineRule="auto"/>
        <w:ind w:right="132"/>
        <w:rPr>
          <w:lang w:val="ro-RO"/>
        </w:rPr>
      </w:pPr>
      <w:r>
        <w:rPr>
          <w:lang w:val="ro-RO"/>
        </w:rPr>
        <w:t>În</w:t>
      </w:r>
      <w:r w:rsidR="000C6DF5">
        <w:rPr>
          <w:lang w:val="ro-RO"/>
        </w:rPr>
        <w:t xml:space="preserve"> următorii ani, Comitetul se angajează să </w:t>
      </w:r>
      <w:r>
        <w:rPr>
          <w:lang w:val="ro-RO"/>
        </w:rPr>
        <w:t>sprijine</w:t>
      </w:r>
      <w:r w:rsidR="000C6DF5">
        <w:rPr>
          <w:lang w:val="ro-RO"/>
        </w:rPr>
        <w:t xml:space="preserve"> punerea în aplicare la nivel național și la nivelul C</w:t>
      </w:r>
      <w:r>
        <w:rPr>
          <w:lang w:val="ro-RO"/>
        </w:rPr>
        <w:t xml:space="preserve">omisiei </w:t>
      </w:r>
      <w:r w:rsidR="000C6DF5">
        <w:rPr>
          <w:lang w:val="ro-RO"/>
        </w:rPr>
        <w:t>E</w:t>
      </w:r>
      <w:r>
        <w:rPr>
          <w:lang w:val="ro-RO"/>
        </w:rPr>
        <w:t>uropene</w:t>
      </w:r>
      <w:r w:rsidR="000C6DF5">
        <w:rPr>
          <w:lang w:val="ro-RO"/>
        </w:rPr>
        <w:t xml:space="preserve"> a realizărilor </w:t>
      </w:r>
      <w:r>
        <w:rPr>
          <w:lang w:val="ro-RO"/>
        </w:rPr>
        <w:t>prezentate</w:t>
      </w:r>
      <w:r w:rsidR="000C6DF5">
        <w:rPr>
          <w:lang w:val="ro-RO"/>
        </w:rPr>
        <w:t xml:space="preserve"> mai sus. Adoptarea declarațiilor sau </w:t>
      </w:r>
      <w:r w:rsidR="0073758B">
        <w:rPr>
          <w:lang w:val="ro-RO"/>
        </w:rPr>
        <w:t xml:space="preserve">a </w:t>
      </w:r>
      <w:r w:rsidR="000C6DF5">
        <w:rPr>
          <w:lang w:val="ro-RO"/>
        </w:rPr>
        <w:t xml:space="preserve">acordurilor comune </w:t>
      </w:r>
      <w:r w:rsidR="0073758B">
        <w:rPr>
          <w:lang w:val="ro-RO"/>
        </w:rPr>
        <w:t>reprezintă</w:t>
      </w:r>
      <w:r w:rsidR="000C6DF5">
        <w:rPr>
          <w:lang w:val="ro-RO"/>
        </w:rPr>
        <w:t xml:space="preserve"> un început, nu rezultatul final. </w:t>
      </w:r>
      <w:r w:rsidR="003D1DD3">
        <w:rPr>
          <w:lang w:val="ro-RO"/>
        </w:rPr>
        <w:t>De asemenea, v</w:t>
      </w:r>
      <w:r w:rsidR="000C6DF5">
        <w:rPr>
          <w:lang w:val="ro-RO"/>
        </w:rPr>
        <w:t xml:space="preserve">a fi necesară o reflecție cu privire la modalitățile de diseminare a activității </w:t>
      </w:r>
      <w:r w:rsidR="00D837E4" w:rsidRPr="00A42AFE">
        <w:rPr>
          <w:bCs/>
          <w:lang w:val="ro-RO"/>
        </w:rPr>
        <w:t>SDC CGA</w:t>
      </w:r>
      <w:r w:rsidR="00D837E4">
        <w:rPr>
          <w:lang w:val="ro-RO"/>
        </w:rPr>
        <w:t xml:space="preserve"> </w:t>
      </w:r>
      <w:r w:rsidR="000C6DF5">
        <w:rPr>
          <w:lang w:val="ro-RO"/>
        </w:rPr>
        <w:t>în cadrul EUPAN.</w:t>
      </w:r>
    </w:p>
    <w:p w:rsidR="00455F84" w:rsidRPr="001F1743" w:rsidRDefault="000C6DF5">
      <w:pPr>
        <w:pStyle w:val="BodyText"/>
        <w:spacing w:before="199" w:line="276" w:lineRule="auto"/>
        <w:ind w:right="130"/>
        <w:rPr>
          <w:lang w:val="fr-FR"/>
        </w:rPr>
      </w:pPr>
      <w:r>
        <w:rPr>
          <w:lang w:val="ro-RO"/>
        </w:rPr>
        <w:t xml:space="preserve">Asigurarea </w:t>
      </w:r>
      <w:r w:rsidR="00950D28">
        <w:rPr>
          <w:lang w:val="ro-RO"/>
        </w:rPr>
        <w:t>implementării</w:t>
      </w:r>
      <w:r>
        <w:rPr>
          <w:lang w:val="ro-RO"/>
        </w:rPr>
        <w:t xml:space="preserve"> </w:t>
      </w:r>
      <w:r w:rsidR="00950D28">
        <w:rPr>
          <w:lang w:val="ro-RO"/>
        </w:rPr>
        <w:t xml:space="preserve">pe cale legală a </w:t>
      </w:r>
      <w:r>
        <w:rPr>
          <w:lang w:val="ro-RO"/>
        </w:rPr>
        <w:t xml:space="preserve">Acordului din </w:t>
      </w:r>
      <w:r w:rsidR="00950D28">
        <w:rPr>
          <w:lang w:val="ro-RO"/>
        </w:rPr>
        <w:t xml:space="preserve">anul </w:t>
      </w:r>
      <w:r>
        <w:rPr>
          <w:lang w:val="ro-RO"/>
        </w:rPr>
        <w:t xml:space="preserve">2015 privind </w:t>
      </w:r>
      <w:r w:rsidR="00950D28">
        <w:rPr>
          <w:lang w:val="ro-RO"/>
        </w:rPr>
        <w:t>dreptul la</w:t>
      </w:r>
      <w:r>
        <w:rPr>
          <w:lang w:val="ro-RO"/>
        </w:rPr>
        <w:t xml:space="preserve"> informare și consultare </w:t>
      </w:r>
      <w:r w:rsidR="00134470">
        <w:rPr>
          <w:lang w:val="ro-RO"/>
        </w:rPr>
        <w:t>pe timp de restructurare</w:t>
      </w:r>
      <w:r>
        <w:rPr>
          <w:lang w:val="ro-RO"/>
        </w:rPr>
        <w:t xml:space="preserve"> rămâne esențială, </w:t>
      </w:r>
      <w:r w:rsidR="00134470">
        <w:rPr>
          <w:lang w:val="ro-RO"/>
        </w:rPr>
        <w:t>mai ales</w:t>
      </w:r>
      <w:r>
        <w:rPr>
          <w:lang w:val="ro-RO"/>
        </w:rPr>
        <w:t xml:space="preserve"> din cauza </w:t>
      </w:r>
      <w:r w:rsidR="00950D28">
        <w:rPr>
          <w:lang w:val="ro-RO"/>
        </w:rPr>
        <w:t>extinderii</w:t>
      </w:r>
      <w:r>
        <w:rPr>
          <w:lang w:val="ro-RO"/>
        </w:rPr>
        <w:t xml:space="preserve"> masive a telemuncii și a preocupărilor tot mai mari în materie de sănătate și </w:t>
      </w:r>
      <w:r w:rsidR="00950D28">
        <w:rPr>
          <w:lang w:val="ro-RO"/>
        </w:rPr>
        <w:t>securitate</w:t>
      </w:r>
      <w:r>
        <w:rPr>
          <w:lang w:val="ro-RO"/>
        </w:rPr>
        <w:t xml:space="preserve"> cauzate de pandemie. Comitetul salută discuțiile în curs dintre Comisie și partenerii sociali </w:t>
      </w:r>
      <w:r w:rsidR="00950D28">
        <w:rPr>
          <w:lang w:val="ro-RO"/>
        </w:rPr>
        <w:t>cu scopul</w:t>
      </w:r>
      <w:r>
        <w:rPr>
          <w:lang w:val="ro-RO"/>
        </w:rPr>
        <w:t xml:space="preserve"> clarificării </w:t>
      </w:r>
      <w:r w:rsidR="00950D28">
        <w:rPr>
          <w:lang w:val="ro-RO"/>
        </w:rPr>
        <w:t xml:space="preserve">regulilor privind dialogul social și </w:t>
      </w:r>
      <w:r>
        <w:rPr>
          <w:lang w:val="ro-RO"/>
        </w:rPr>
        <w:t>consolidării impactului acestuia la nivel național. Un raport al dnei Nahles, consilier special al comisarului UE</w:t>
      </w:r>
      <w:r w:rsidR="00BE100A">
        <w:rPr>
          <w:lang w:val="ro-RO"/>
        </w:rPr>
        <w:t>, Nicolas</w:t>
      </w:r>
      <w:r>
        <w:rPr>
          <w:lang w:val="ro-RO"/>
        </w:rPr>
        <w:t xml:space="preserve"> Schmit, va fi disponibil în</w:t>
      </w:r>
      <w:r w:rsidR="00950D28">
        <w:rPr>
          <w:lang w:val="ro-RO"/>
        </w:rPr>
        <w:t xml:space="preserve"> luna</w:t>
      </w:r>
      <w:r>
        <w:rPr>
          <w:lang w:val="ro-RO"/>
        </w:rPr>
        <w:t xml:space="preserve"> februarie 2021.</w:t>
      </w:r>
    </w:p>
    <w:p w:rsidR="00455F84" w:rsidRPr="001F1743" w:rsidRDefault="00950D28">
      <w:pPr>
        <w:pStyle w:val="BodyText"/>
        <w:spacing w:before="201" w:line="276" w:lineRule="auto"/>
        <w:ind w:right="132"/>
        <w:rPr>
          <w:lang w:val="fr-FR"/>
        </w:rPr>
      </w:pPr>
      <w:r>
        <w:rPr>
          <w:lang w:val="ro-RO"/>
        </w:rPr>
        <w:t xml:space="preserve">Având convingerea </w:t>
      </w:r>
      <w:r w:rsidR="0046724A">
        <w:rPr>
          <w:lang w:val="ro-RO"/>
        </w:rPr>
        <w:t>că</w:t>
      </w:r>
      <w:r>
        <w:rPr>
          <w:lang w:val="ro-RO"/>
        </w:rPr>
        <w:t xml:space="preserve"> elaborarea standardelor sociale </w:t>
      </w:r>
      <w:r w:rsidR="000C6DF5">
        <w:rPr>
          <w:lang w:val="ro-RO"/>
        </w:rPr>
        <w:t xml:space="preserve">minime ale UE </w:t>
      </w:r>
      <w:r>
        <w:rPr>
          <w:lang w:val="ro-RO"/>
        </w:rPr>
        <w:t xml:space="preserve">este </w:t>
      </w:r>
      <w:r w:rsidR="000C6DF5">
        <w:rPr>
          <w:lang w:val="ro-RO"/>
        </w:rPr>
        <w:t xml:space="preserve">parte </w:t>
      </w:r>
      <w:r>
        <w:rPr>
          <w:lang w:val="ro-RO"/>
        </w:rPr>
        <w:t>a responsabilităţii</w:t>
      </w:r>
      <w:r w:rsidR="000C6DF5">
        <w:rPr>
          <w:lang w:val="ro-RO"/>
        </w:rPr>
        <w:t xml:space="preserve"> partenerilor sociali </w:t>
      </w:r>
      <w:r>
        <w:rPr>
          <w:lang w:val="ro-RO"/>
        </w:rPr>
        <w:t>de la nivelul</w:t>
      </w:r>
      <w:r w:rsidR="000C6DF5">
        <w:rPr>
          <w:lang w:val="ro-RO"/>
        </w:rPr>
        <w:t xml:space="preserve"> UE, Comitetul va încerca, cu sprijinul Comisiei, să </w:t>
      </w:r>
      <w:r>
        <w:rPr>
          <w:lang w:val="ro-RO"/>
        </w:rPr>
        <w:t xml:space="preserve">încheie </w:t>
      </w:r>
      <w:r w:rsidR="000C6DF5">
        <w:rPr>
          <w:lang w:val="ro-RO"/>
        </w:rPr>
        <w:t>un acord privind digitalizarea</w:t>
      </w:r>
      <w:r>
        <w:rPr>
          <w:lang w:val="ro-RO"/>
        </w:rPr>
        <w:t xml:space="preserve">, </w:t>
      </w:r>
      <w:r w:rsidR="0046724A">
        <w:rPr>
          <w:lang w:val="ro-RO"/>
        </w:rPr>
        <w:t>în vederea unei</w:t>
      </w:r>
      <w:r w:rsidR="000C6DF5">
        <w:rPr>
          <w:lang w:val="ro-RO"/>
        </w:rPr>
        <w:t xml:space="preserve"> evoluți</w:t>
      </w:r>
      <w:r w:rsidR="0046724A">
        <w:rPr>
          <w:lang w:val="ro-RO"/>
        </w:rPr>
        <w:t>i</w:t>
      </w:r>
      <w:r w:rsidR="00B66B17">
        <w:rPr>
          <w:lang w:val="ro-RO"/>
        </w:rPr>
        <w:t xml:space="preserve"> pozitive</w:t>
      </w:r>
      <w:r w:rsidR="0046724A">
        <w:rPr>
          <w:lang w:val="ro-RO"/>
        </w:rPr>
        <w:t xml:space="preserve"> comune</w:t>
      </w:r>
      <w:r w:rsidR="000C6DF5">
        <w:rPr>
          <w:lang w:val="ro-RO"/>
        </w:rPr>
        <w:t xml:space="preserve"> atât pentru </w:t>
      </w:r>
      <w:r w:rsidR="0046724A">
        <w:rPr>
          <w:lang w:val="ro-RO"/>
        </w:rPr>
        <w:t>creşterea calităţii</w:t>
      </w:r>
      <w:r w:rsidR="000C6DF5">
        <w:rPr>
          <w:lang w:val="ro-RO"/>
        </w:rPr>
        <w:t xml:space="preserve"> condițiilor de muncă, cât și pentru accesibilitatea efectivă a administrațiilor publice.</w:t>
      </w:r>
    </w:p>
    <w:p w:rsidR="00455F84" w:rsidRPr="001F1743" w:rsidRDefault="000C6DF5">
      <w:pPr>
        <w:pStyle w:val="BodyText"/>
        <w:spacing w:before="199" w:line="278" w:lineRule="auto"/>
        <w:ind w:right="135"/>
        <w:rPr>
          <w:lang w:val="fr-FR"/>
        </w:rPr>
      </w:pPr>
      <w:r>
        <w:rPr>
          <w:lang w:val="ro-RO"/>
        </w:rPr>
        <w:t xml:space="preserve">Comitetul subliniază importanța principiului autonomiei partenerilor sociali. Acesta își menține angajamentul de a </w:t>
      </w:r>
      <w:r w:rsidR="00B66B17">
        <w:rPr>
          <w:lang w:val="ro-RO"/>
        </w:rPr>
        <w:t>întări</w:t>
      </w:r>
      <w:r>
        <w:rPr>
          <w:lang w:val="ro-RO"/>
        </w:rPr>
        <w:t xml:space="preserve"> capacitățile angajatorilor naționali și ale organizațiilor sindicale. </w:t>
      </w:r>
      <w:r w:rsidR="00134470">
        <w:rPr>
          <w:lang w:val="ro-RO"/>
        </w:rPr>
        <w:t>U</w:t>
      </w:r>
      <w:r w:rsidR="00134470">
        <w:rPr>
          <w:lang w:val="ro-RO"/>
        </w:rPr>
        <w:t>n dialog social funcțional</w:t>
      </w:r>
      <w:r w:rsidR="00134470" w:rsidRPr="00B66B17">
        <w:rPr>
          <w:lang w:val="ro-RO"/>
        </w:rPr>
        <w:t xml:space="preserve"> </w:t>
      </w:r>
      <w:r w:rsidR="00134470">
        <w:rPr>
          <w:lang w:val="ro-RO"/>
        </w:rPr>
        <w:t>la nivelul UE</w:t>
      </w:r>
      <w:r w:rsidR="00134470">
        <w:rPr>
          <w:lang w:val="ro-RO"/>
        </w:rPr>
        <w:t xml:space="preserve"> e</w:t>
      </w:r>
      <w:r>
        <w:rPr>
          <w:lang w:val="ro-RO"/>
        </w:rPr>
        <w:t>xistă doar</w:t>
      </w:r>
      <w:r w:rsidR="00134470">
        <w:rPr>
          <w:lang w:val="ro-RO"/>
        </w:rPr>
        <w:t xml:space="preserve"> </w:t>
      </w:r>
      <w:r>
        <w:rPr>
          <w:lang w:val="ro-RO"/>
        </w:rPr>
        <w:t xml:space="preserve">în măsura în care există un dialog social la fel de funcțional </w:t>
      </w:r>
      <w:r w:rsidR="00134470">
        <w:rPr>
          <w:lang w:val="ro-RO"/>
        </w:rPr>
        <w:t>şi l</w:t>
      </w:r>
      <w:r>
        <w:rPr>
          <w:lang w:val="ro-RO"/>
        </w:rPr>
        <w:t>a nivel național și la locul de muncă.</w:t>
      </w:r>
    </w:p>
    <w:p w:rsidR="00455F84" w:rsidRPr="00CF6853" w:rsidRDefault="00CF6853" w:rsidP="0046724A">
      <w:pPr>
        <w:pStyle w:val="BodyText"/>
        <w:spacing w:before="190" w:line="276" w:lineRule="auto"/>
        <w:ind w:right="133"/>
        <w:rPr>
          <w:lang w:val="fr-FR"/>
        </w:rPr>
      </w:pPr>
      <w:r>
        <w:rPr>
          <w:lang w:val="ro-RO"/>
        </w:rPr>
        <w:t>Este sigur</w:t>
      </w:r>
      <w:r w:rsidR="000C6DF5">
        <w:rPr>
          <w:lang w:val="ro-RO"/>
        </w:rPr>
        <w:t xml:space="preserve"> că diversitatea structurilor și a </w:t>
      </w:r>
      <w:r>
        <w:rPr>
          <w:lang w:val="ro-RO"/>
        </w:rPr>
        <w:t>ariei de cuprindere</w:t>
      </w:r>
      <w:r w:rsidR="000C6DF5">
        <w:rPr>
          <w:lang w:val="ro-RO"/>
        </w:rPr>
        <w:t xml:space="preserve"> a guvernelor centrale sau federale necesită standarde sociale </w:t>
      </w:r>
      <w:r>
        <w:rPr>
          <w:lang w:val="ro-RO"/>
        </w:rPr>
        <w:t>minime la nivelul UE</w:t>
      </w:r>
      <w:r w:rsidR="000C6DF5">
        <w:rPr>
          <w:lang w:val="ro-RO"/>
        </w:rPr>
        <w:t xml:space="preserve">, în conformitate cu principiul egalității de tratament al UE. </w:t>
      </w:r>
      <w:r>
        <w:rPr>
          <w:lang w:val="ro-RO"/>
        </w:rPr>
        <w:t>Este reafirmat</w:t>
      </w:r>
      <w:r w:rsidR="000C6DF5">
        <w:rPr>
          <w:lang w:val="ro-RO"/>
        </w:rPr>
        <w:t xml:space="preserve"> angajamentu</w:t>
      </w:r>
      <w:r>
        <w:rPr>
          <w:lang w:val="ro-RO"/>
        </w:rPr>
        <w:t>l de a susține Tratatele E</w:t>
      </w:r>
      <w:r w:rsidR="000C6DF5">
        <w:rPr>
          <w:lang w:val="ro-RO"/>
        </w:rPr>
        <w:t xml:space="preserve">uropene și </w:t>
      </w:r>
      <w:r>
        <w:rPr>
          <w:lang w:val="ro-RO"/>
        </w:rPr>
        <w:lastRenderedPageBreak/>
        <w:t>Carta Drepturilor F</w:t>
      </w:r>
      <w:r w:rsidR="000C6DF5">
        <w:rPr>
          <w:lang w:val="ro-RO"/>
        </w:rPr>
        <w:t>undamentale, inclusiv dreptul la o bună administrare și de</w:t>
      </w:r>
      <w:r>
        <w:rPr>
          <w:lang w:val="ro-RO"/>
        </w:rPr>
        <w:t>schidere, asigurându-se că toate</w:t>
      </w:r>
      <w:r w:rsidR="000C6DF5">
        <w:rPr>
          <w:lang w:val="ro-RO"/>
        </w:rPr>
        <w:t xml:space="preserve"> </w:t>
      </w:r>
      <w:r>
        <w:rPr>
          <w:lang w:val="ro-RO"/>
        </w:rPr>
        <w:t>persoanele</w:t>
      </w:r>
      <w:r w:rsidR="000C6DF5">
        <w:rPr>
          <w:lang w:val="ro-RO"/>
        </w:rPr>
        <w:t xml:space="preserve"> din UE </w:t>
      </w:r>
      <w:r>
        <w:rPr>
          <w:lang w:val="ro-RO"/>
        </w:rPr>
        <w:t>sunt tratate</w:t>
      </w:r>
      <w:r w:rsidR="000C6DF5">
        <w:rPr>
          <w:lang w:val="ro-RO"/>
        </w:rPr>
        <w:t xml:space="preserve"> în mod echitabil de către administrațiile naționale</w:t>
      </w:r>
      <w:r>
        <w:rPr>
          <w:lang w:val="ro-RO"/>
        </w:rPr>
        <w:t xml:space="preserve"> şi instituţiile UE</w:t>
      </w:r>
      <w:r w:rsidR="000C6DF5">
        <w:rPr>
          <w:lang w:val="ro-RO"/>
        </w:rPr>
        <w:t xml:space="preserve">. </w:t>
      </w:r>
      <w:r>
        <w:rPr>
          <w:lang w:val="ro-RO"/>
        </w:rPr>
        <w:t>Este subliniată</w:t>
      </w:r>
      <w:r w:rsidR="000C6DF5">
        <w:rPr>
          <w:lang w:val="ro-RO"/>
        </w:rPr>
        <w:t xml:space="preserve"> importanța de a face administrațiile publice mai deschise și mai rep</w:t>
      </w:r>
      <w:bookmarkStart w:id="0" w:name="_GoBack"/>
      <w:bookmarkEnd w:id="0"/>
      <w:r w:rsidR="000C6DF5">
        <w:rPr>
          <w:lang w:val="ro-RO"/>
        </w:rPr>
        <w:t xml:space="preserve">rezentative pentru societatea pe care o </w:t>
      </w:r>
      <w:r w:rsidR="00B30BBB">
        <w:rPr>
          <w:lang w:val="ro-RO"/>
        </w:rPr>
        <w:t>deservesc</w:t>
      </w:r>
      <w:r w:rsidR="000C6DF5">
        <w:rPr>
          <w:lang w:val="ro-RO"/>
        </w:rPr>
        <w:t>.</w:t>
      </w:r>
      <w:r w:rsidR="0046724A" w:rsidRPr="001F1743">
        <w:rPr>
          <w:lang w:val="fr-FR"/>
        </w:rPr>
        <w:t xml:space="preserve">                             </w:t>
      </w:r>
      <w:r w:rsidR="000C6DF5" w:rsidRPr="001F1743">
        <w:rPr>
          <w:lang w:val="fr-FR"/>
        </w:rPr>
        <w:t xml:space="preserve"> </w:t>
      </w:r>
    </w:p>
    <w:sectPr w:rsidR="00455F84" w:rsidRPr="00CF6853" w:rsidSect="00455F84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64DB3"/>
    <w:multiLevelType w:val="hybridMultilevel"/>
    <w:tmpl w:val="04DCD588"/>
    <w:lvl w:ilvl="0" w:tplc="EE8ACBB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10922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E8C0C87A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7960D12A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B9C688B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5FB8731E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AAF6255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1F961CF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85243AD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5F84"/>
    <w:rsid w:val="000C6D9B"/>
    <w:rsid w:val="000C6DF5"/>
    <w:rsid w:val="00134470"/>
    <w:rsid w:val="001855FD"/>
    <w:rsid w:val="001D6151"/>
    <w:rsid w:val="001F1743"/>
    <w:rsid w:val="00240F29"/>
    <w:rsid w:val="003834DA"/>
    <w:rsid w:val="00393DF0"/>
    <w:rsid w:val="003D1DD3"/>
    <w:rsid w:val="003F0C09"/>
    <w:rsid w:val="00455F84"/>
    <w:rsid w:val="0046724A"/>
    <w:rsid w:val="00470F80"/>
    <w:rsid w:val="005416E6"/>
    <w:rsid w:val="005B3DAD"/>
    <w:rsid w:val="00605E4E"/>
    <w:rsid w:val="00671AC2"/>
    <w:rsid w:val="00684138"/>
    <w:rsid w:val="0073758B"/>
    <w:rsid w:val="00781060"/>
    <w:rsid w:val="00787765"/>
    <w:rsid w:val="00795AEC"/>
    <w:rsid w:val="007D1EFA"/>
    <w:rsid w:val="007E2ADE"/>
    <w:rsid w:val="00831684"/>
    <w:rsid w:val="00835199"/>
    <w:rsid w:val="00845282"/>
    <w:rsid w:val="00913D88"/>
    <w:rsid w:val="009321B1"/>
    <w:rsid w:val="00950D28"/>
    <w:rsid w:val="009715F1"/>
    <w:rsid w:val="009C7F04"/>
    <w:rsid w:val="00A23941"/>
    <w:rsid w:val="00A42AFE"/>
    <w:rsid w:val="00B30BBB"/>
    <w:rsid w:val="00B66B17"/>
    <w:rsid w:val="00BC72C3"/>
    <w:rsid w:val="00BE100A"/>
    <w:rsid w:val="00C022BE"/>
    <w:rsid w:val="00C53FF5"/>
    <w:rsid w:val="00CE0701"/>
    <w:rsid w:val="00CE17D1"/>
    <w:rsid w:val="00CF6853"/>
    <w:rsid w:val="00D837E4"/>
    <w:rsid w:val="00DD0B62"/>
    <w:rsid w:val="00DF16F0"/>
    <w:rsid w:val="00E83A25"/>
    <w:rsid w:val="00EF2E15"/>
    <w:rsid w:val="00F26F1F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AA3694-1F5B-490D-8D8B-DB0CB00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5F8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55F84"/>
    <w:pPr>
      <w:spacing w:before="94"/>
      <w:ind w:left="550" w:right="54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F84"/>
    <w:pPr>
      <w:ind w:left="140"/>
      <w:jc w:val="both"/>
    </w:pPr>
  </w:style>
  <w:style w:type="paragraph" w:styleId="ListParagraph">
    <w:name w:val="List Paragraph"/>
    <w:basedOn w:val="Normal"/>
    <w:uiPriority w:val="1"/>
    <w:qFormat/>
    <w:rsid w:val="00455F84"/>
    <w:pPr>
      <w:spacing w:before="35"/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55F84"/>
  </w:style>
  <w:style w:type="paragraph" w:styleId="BalloonText">
    <w:name w:val="Balloon Text"/>
    <w:basedOn w:val="Normal"/>
    <w:link w:val="BalloonTextChar"/>
    <w:uiPriority w:val="99"/>
    <w:semiHidden/>
    <w:unhideWhenUsed/>
    <w:rsid w:val="00DF1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F0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SALSON</dc:creator>
  <cp:lastModifiedBy>Steluta Spataru</cp:lastModifiedBy>
  <cp:revision>17</cp:revision>
  <dcterms:created xsi:type="dcterms:W3CDTF">2020-12-11T09:01:00Z</dcterms:created>
  <dcterms:modified xsi:type="dcterms:W3CDTF">2020-12-21T11:21:00Z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2020-12-11T00:00:00Z</vt:filetime>
  </property>
</Properties>
</file>